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CA" w:rsidRPr="00386BCA" w:rsidRDefault="00386BCA" w:rsidP="00386BCA">
      <w:pPr>
        <w:jc w:val="center"/>
        <w:rPr>
          <w:rFonts w:ascii="Times New Roman" w:hAnsi="Times New Roman" w:cs="Times New Roman"/>
          <w:b/>
          <w:color w:val="000000"/>
          <w:sz w:val="40"/>
          <w:szCs w:val="33"/>
          <w:u w:val="single"/>
          <w:shd w:val="clear" w:color="auto" w:fill="FFFFFF"/>
        </w:rPr>
      </w:pPr>
      <w:r w:rsidRPr="00386BCA">
        <w:rPr>
          <w:rFonts w:ascii="Times New Roman" w:hAnsi="Times New Roman" w:cs="Times New Roman"/>
          <w:b/>
          <w:color w:val="000000"/>
          <w:sz w:val="40"/>
          <w:szCs w:val="33"/>
          <w:u w:val="single"/>
          <w:shd w:val="clear" w:color="auto" w:fill="FFFFFF"/>
        </w:rPr>
        <w:t>Что такое пенсионные накопления</w:t>
      </w:r>
    </w:p>
    <w:p w:rsidR="00DA029D" w:rsidRDefault="00386BCA">
      <w:pPr>
        <w:rPr>
          <w:rFonts w:ascii="Times New Roman" w:hAnsi="Times New Roman" w:cs="Times New Roman"/>
          <w:color w:val="000000"/>
          <w:sz w:val="36"/>
          <w:szCs w:val="33"/>
          <w:shd w:val="clear" w:color="auto" w:fill="FFFFFF"/>
        </w:rPr>
      </w:pPr>
      <w:r w:rsidRPr="00386BCA">
        <w:rPr>
          <w:rFonts w:ascii="Times New Roman" w:hAnsi="Times New Roman" w:cs="Times New Roman"/>
          <w:color w:val="000000"/>
          <w:sz w:val="36"/>
          <w:szCs w:val="33"/>
          <w:shd w:val="clear" w:color="auto" w:fill="FFFFFF"/>
        </w:rPr>
        <w:t>Что такое пенсионные накопления, как выбрать фонд для их хранения и как перевести пенсионные накопления из одного НПФ в другой смотрите в карточках</w:t>
      </w:r>
    </w:p>
    <w:p w:rsidR="00386BCA" w:rsidRDefault="00386BCA">
      <w:pPr>
        <w:rPr>
          <w:rFonts w:ascii="Times New Roman" w:hAnsi="Times New Roman" w:cs="Times New Roman"/>
          <w:color w:val="000000"/>
          <w:sz w:val="36"/>
          <w:szCs w:val="33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24516" cy="5749637"/>
            <wp:effectExtent l="19050" t="0" r="4734" b="0"/>
            <wp:docPr id="22" name="Рисунок 10" descr="Пенсионные накопл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7570" cy="57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CA" w:rsidRPr="00386BCA" w:rsidRDefault="00386B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2" name="Рисунок 11" descr="Пенсионные накопл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3" name="Рисунок 12" descr="Пенсионные накопл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4" name="Рисунок 13" descr="Пенсионные накопл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5" name="Рисунок 14" descr="Пенсионные накопл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6" name="Рисунок 15" descr="Пенсионные накопл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7" name="Рисунок 16" descr="Пенсионные накопле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8" name="Рисунок 17" descr="Пенсионные накоплен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19" name="Рисунок 18" descr="Пенсионные накоплени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20" name="Рисунок 19" descr="Пенсионные накоплени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е накопления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BCA" w:rsidRPr="00386BCA" w:rsidSect="00DA0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86BCA"/>
    <w:rsid w:val="00386BCA"/>
    <w:rsid w:val="00DA0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2024-08-26T10:38:00Z</dcterms:created>
  <dcterms:modified xsi:type="dcterms:W3CDTF">2024-08-26T10:41:00Z</dcterms:modified>
</cp:coreProperties>
</file>