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0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342DC9" w:rsidP="00301075">
      <w:pPr>
        <w:jc w:val="center"/>
      </w:pPr>
      <w:r w:rsidRPr="00481FD6">
        <w:t>0</w:t>
      </w:r>
      <w:r w:rsidR="00000CCA">
        <w:t>9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5F37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5F37E6">
            <w:pPr>
              <w:spacing w:line="276" w:lineRule="auto"/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 w:rsidR="00C351A2">
              <w:rPr>
                <w:sz w:val="26"/>
                <w:szCs w:val="26"/>
              </w:rPr>
              <w:t>130 948,2</w:t>
            </w:r>
            <w:r w:rsidRPr="005F37E6">
              <w:rPr>
                <w:sz w:val="26"/>
                <w:szCs w:val="26"/>
              </w:rPr>
              <w:t xml:space="preserve"> тыс. рублей;</w:t>
            </w:r>
          </w:p>
          <w:p w:rsidR="005F37E6" w:rsidRPr="005F37E6" w:rsidRDefault="005F37E6" w:rsidP="005F37E6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 w:rsidR="00C351A2">
              <w:rPr>
                <w:bCs/>
                <w:sz w:val="26"/>
                <w:szCs w:val="26"/>
              </w:rPr>
              <w:t>131 119,7</w:t>
            </w:r>
            <w:r w:rsidRPr="005F37E6">
              <w:rPr>
                <w:bCs/>
                <w:sz w:val="26"/>
                <w:szCs w:val="26"/>
              </w:rPr>
              <w:t xml:space="preserve"> тыс. рублей;»;</w:t>
            </w:r>
          </w:p>
          <w:p w:rsidR="008D2D76" w:rsidRPr="005F37E6" w:rsidRDefault="008D2D76" w:rsidP="008D2D7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2</w:t>
            </w:r>
            <w:r w:rsidRPr="005F37E6">
              <w:rPr>
                <w:b/>
                <w:sz w:val="26"/>
                <w:szCs w:val="26"/>
              </w:rPr>
              <w:t>)</w:t>
            </w:r>
            <w:r w:rsidRPr="005F37E6">
              <w:rPr>
                <w:sz w:val="26"/>
                <w:szCs w:val="26"/>
              </w:rPr>
              <w:t xml:space="preserve"> пункты 1,2  части </w:t>
            </w:r>
            <w:r>
              <w:rPr>
                <w:sz w:val="26"/>
                <w:szCs w:val="26"/>
              </w:rPr>
              <w:t>2</w:t>
            </w:r>
            <w:r w:rsidRPr="005F37E6">
              <w:rPr>
                <w:sz w:val="26"/>
                <w:szCs w:val="26"/>
              </w:rPr>
              <w:t xml:space="preserve"> изложить в следующей редакции: </w:t>
            </w:r>
          </w:p>
          <w:p w:rsidR="008D2D76" w:rsidRPr="008D2D76" w:rsidRDefault="008D2D76" w:rsidP="008D2D76">
            <w:pPr>
              <w:spacing w:line="276" w:lineRule="auto"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8D2D76">
              <w:rPr>
                <w:snapToGrid w:val="0"/>
                <w:sz w:val="26"/>
                <w:szCs w:val="26"/>
              </w:rPr>
              <w:t>«1</w:t>
            </w:r>
            <w:r w:rsidRPr="008D2D76">
              <w:rPr>
                <w:sz w:val="26"/>
                <w:szCs w:val="26"/>
              </w:rPr>
              <w:t xml:space="preserve">1) прогнозируемый общий объем доходов  местного бюджета на плановый период 2025 год в сумме </w:t>
            </w:r>
            <w:r>
              <w:rPr>
                <w:sz w:val="26"/>
                <w:szCs w:val="26"/>
              </w:rPr>
              <w:t>79 664,8</w:t>
            </w:r>
            <w:r w:rsidRPr="008D2D76">
              <w:rPr>
                <w:sz w:val="26"/>
                <w:szCs w:val="26"/>
              </w:rPr>
              <w:t xml:space="preserve">  тыс. рублей и 2026 год в сумме 25 160,4 тыс. рублей</w:t>
            </w:r>
            <w:r w:rsidRPr="008D2D76">
              <w:rPr>
                <w:bCs/>
                <w:sz w:val="26"/>
                <w:szCs w:val="26"/>
              </w:rPr>
              <w:t>;</w:t>
            </w:r>
          </w:p>
          <w:p w:rsidR="008D2D76" w:rsidRDefault="008D2D76" w:rsidP="008D2D76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8D2D76">
              <w:rPr>
                <w:bCs/>
                <w:sz w:val="26"/>
                <w:szCs w:val="26"/>
              </w:rPr>
              <w:t>2) общий объем расходов местного бюджета на 2025 год</w:t>
            </w:r>
            <w:r w:rsidRPr="008D2D76">
              <w:rPr>
                <w:snapToGrid w:val="0"/>
                <w:sz w:val="26"/>
                <w:szCs w:val="26"/>
              </w:rPr>
              <w:t xml:space="preserve"> </w:t>
            </w:r>
            <w:r w:rsidRPr="008D2D76">
              <w:rPr>
                <w:bCs/>
                <w:sz w:val="26"/>
                <w:szCs w:val="26"/>
              </w:rPr>
              <w:t xml:space="preserve"> в сумме </w:t>
            </w:r>
            <w:r>
              <w:rPr>
                <w:bCs/>
                <w:sz w:val="26"/>
                <w:szCs w:val="26"/>
              </w:rPr>
              <w:t>79 664,8</w:t>
            </w:r>
            <w:r w:rsidRPr="008D2D76">
              <w:rPr>
                <w:sz w:val="26"/>
                <w:szCs w:val="26"/>
              </w:rPr>
              <w:t xml:space="preserve">  т</w:t>
            </w:r>
            <w:r w:rsidRPr="008D2D76">
              <w:rPr>
                <w:bCs/>
                <w:sz w:val="26"/>
                <w:szCs w:val="26"/>
              </w:rPr>
              <w:t>ыс. рублей, в том числе условно утвержденные расходы в сумме 607,6  тыс. рублей, и на 2026 год в сумме  25 160,4  тыс. рублей, в том числе условно утвержденные расходы в сумме 1 133,3  тыс. рублей;»;</w:t>
            </w:r>
          </w:p>
          <w:p w:rsidR="00681925" w:rsidRPr="00481FD6" w:rsidRDefault="00CC6133" w:rsidP="00CC613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8D2D76">
              <w:rPr>
                <w:b/>
                <w:sz w:val="26"/>
                <w:szCs w:val="26"/>
              </w:rPr>
              <w:t>3</w:t>
            </w:r>
            <w:r w:rsidR="00681925" w:rsidRPr="00B513D3">
              <w:rPr>
                <w:b/>
                <w:sz w:val="26"/>
                <w:szCs w:val="26"/>
              </w:rPr>
              <w:t>)</w:t>
            </w:r>
            <w:r w:rsidR="00681925" w:rsidRPr="00B513D3">
              <w:rPr>
                <w:sz w:val="26"/>
                <w:szCs w:val="26"/>
              </w:rPr>
              <w:t xml:space="preserve"> часть</w:t>
            </w:r>
            <w:r w:rsidR="005F37E6">
              <w:rPr>
                <w:sz w:val="26"/>
                <w:szCs w:val="26"/>
              </w:rPr>
              <w:t xml:space="preserve"> </w:t>
            </w:r>
            <w:r w:rsidR="00681925" w:rsidRPr="00481FD6">
              <w:rPr>
                <w:sz w:val="26"/>
                <w:szCs w:val="26"/>
              </w:rPr>
              <w:t>6 изложить в следующей редакции:</w:t>
            </w:r>
          </w:p>
          <w:p w:rsidR="00301075" w:rsidRPr="00F40318" w:rsidRDefault="00681925" w:rsidP="000E3B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>«</w:t>
            </w:r>
            <w:r w:rsidR="005F37E6" w:rsidRPr="005F37E6">
              <w:rPr>
                <w:bCs/>
                <w:sz w:val="26"/>
                <w:szCs w:val="26"/>
              </w:rPr>
              <w:t xml:space="preserve">6. </w:t>
            </w:r>
            <w:r w:rsidR="005F37E6" w:rsidRPr="005F37E6">
              <w:rPr>
                <w:snapToGrid w:val="0"/>
                <w:sz w:val="26"/>
                <w:szCs w:val="26"/>
              </w:rPr>
              <w:t xml:space="preserve">Утвердить объем бюджетных ассигнований </w:t>
            </w:r>
            <w:r w:rsidR="005F37E6" w:rsidRPr="005F37E6">
              <w:rPr>
                <w:sz w:val="26"/>
                <w:szCs w:val="26"/>
              </w:rPr>
              <w:t xml:space="preserve">дорожного фонда Синегорского сельского поселения на 2024 год в сумме </w:t>
            </w:r>
            <w:r w:rsidR="00C351A2">
              <w:rPr>
                <w:sz w:val="26"/>
                <w:szCs w:val="26"/>
              </w:rPr>
              <w:t>7</w:t>
            </w:r>
            <w:r w:rsidR="000E3B5A">
              <w:rPr>
                <w:sz w:val="26"/>
                <w:szCs w:val="26"/>
              </w:rPr>
              <w:t> 082,1</w:t>
            </w:r>
            <w:r w:rsidR="005F37E6" w:rsidRPr="005F37E6">
              <w:rPr>
                <w:sz w:val="26"/>
                <w:szCs w:val="26"/>
              </w:rPr>
              <w:t xml:space="preserve"> тыс. рублей, 2025 год в сумме </w:t>
            </w:r>
            <w:r w:rsidR="008D2D76">
              <w:rPr>
                <w:sz w:val="26"/>
                <w:szCs w:val="26"/>
              </w:rPr>
              <w:t>53 612,4</w:t>
            </w:r>
            <w:r w:rsidR="005F37E6" w:rsidRPr="005F37E6">
              <w:rPr>
                <w:sz w:val="26"/>
                <w:szCs w:val="26"/>
              </w:rPr>
              <w:t xml:space="preserve"> тыс. рублей, на 2026 год в сумме 0,0 тыс. рублей;</w:t>
            </w:r>
            <w:r w:rsidR="005F37E6">
              <w:rPr>
                <w:sz w:val="26"/>
                <w:szCs w:val="26"/>
              </w:rPr>
              <w:t>»;</w:t>
            </w:r>
          </w:p>
        </w:tc>
      </w:tr>
    </w:tbl>
    <w:p w:rsidR="001B499D" w:rsidRPr="00481FD6" w:rsidRDefault="001B499D" w:rsidP="0054794C">
      <w:pPr>
        <w:jc w:val="both"/>
      </w:pPr>
    </w:p>
    <w:p w:rsidR="005269AC" w:rsidRDefault="00020C83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5269AC" w:rsidRDefault="005269AC" w:rsidP="006B22E8"/>
    <w:p w:rsidR="005269AC" w:rsidRPr="00481FD6" w:rsidRDefault="00183C21" w:rsidP="005269AC">
      <w:r>
        <w:rPr>
          <w:b/>
          <w:bCs/>
        </w:rPr>
        <w:t>4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1257"/>
        <w:gridCol w:w="1134"/>
      </w:tblGrid>
      <w:tr w:rsidR="00573A9C" w:rsidRPr="00EE0D48" w:rsidTr="00B9777E">
        <w:trPr>
          <w:trHeight w:val="777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Default="00573A9C" w:rsidP="005269AC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  <w:p w:rsidR="00573A9C" w:rsidRPr="00EE0D48" w:rsidRDefault="00573A9C" w:rsidP="005269AC">
            <w:pPr>
              <w:jc w:val="center"/>
            </w:pP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  <w:p w:rsidR="00361322" w:rsidRDefault="00361322" w:rsidP="005269A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61322" w:rsidRPr="00EE0D48" w:rsidRDefault="00361322" w:rsidP="005269A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B18EB" w:rsidRPr="00EE0D48" w:rsidTr="00AB18EB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C" w:rsidRDefault="00AB18EB" w:rsidP="00AB18EB">
            <w:pPr>
              <w:jc w:val="center"/>
            </w:pPr>
            <w:r w:rsidRPr="00AB18EB">
              <w:t xml:space="preserve">Код бюджетной классификации </w:t>
            </w:r>
          </w:p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t>Российской Федерации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2024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2026 год</w:t>
            </w:r>
          </w:p>
        </w:tc>
      </w:tr>
      <w:tr w:rsidR="00573A9C" w:rsidRPr="00EE0D48" w:rsidTr="00AB18EB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C" w:rsidRPr="00AB18EB" w:rsidRDefault="00573A9C" w:rsidP="00AB18EB">
            <w:pPr>
              <w:jc w:val="center"/>
            </w:pPr>
            <w: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AB18EB" w:rsidRPr="00EE0D48" w:rsidTr="00AB18EB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ИТОГО ДОХОДОВ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C351A2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13</w:t>
            </w:r>
            <w:r w:rsidR="00C351A2">
              <w:rPr>
                <w:b/>
                <w:color w:val="000000"/>
              </w:rPr>
              <w:t>0 948,2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79 664,8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25 160,4</w:t>
            </w:r>
          </w:p>
        </w:tc>
      </w:tr>
      <w:tr w:rsidR="00AB18EB" w:rsidRPr="00EE0D48" w:rsidTr="00AB18EB">
        <w:trPr>
          <w:trHeight w:val="3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6 247,0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7 928,6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7 928,6</w:t>
            </w:r>
          </w:p>
        </w:tc>
      </w:tr>
      <w:tr w:rsidR="00AB18EB" w:rsidRPr="00EE0D48" w:rsidTr="00AB18EB">
        <w:trPr>
          <w:trHeight w:val="2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5 653,0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7 606,5</w:t>
            </w:r>
          </w:p>
        </w:tc>
      </w:tr>
      <w:tr w:rsidR="00AB18EB" w:rsidRPr="00EE0D48" w:rsidTr="00573A9C">
        <w:trPr>
          <w:trHeight w:val="5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2 430,9</w:t>
            </w:r>
          </w:p>
        </w:tc>
      </w:tr>
      <w:tr w:rsidR="00AB18EB" w:rsidRPr="00EE0D48" w:rsidTr="00AB18EB">
        <w:trPr>
          <w:trHeight w:val="2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</w:tr>
      <w:tr w:rsidR="00AB18EB" w:rsidRPr="00EE0D48" w:rsidTr="00AB18EB">
        <w:trPr>
          <w:trHeight w:val="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</w:tr>
      <w:tr w:rsidR="00AB18EB" w:rsidRPr="00EE0D48" w:rsidTr="00AB18EB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477,3</w:t>
            </w:r>
          </w:p>
        </w:tc>
      </w:tr>
      <w:tr w:rsidR="00AB18EB" w:rsidRPr="00EE0D48" w:rsidTr="00AB18EB">
        <w:trPr>
          <w:trHeight w:val="4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</w:tr>
      <w:tr w:rsidR="00AB18EB" w:rsidRPr="00EE0D48" w:rsidTr="00AB18EB">
        <w:trPr>
          <w:trHeight w:val="2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</w:tr>
      <w:tr w:rsidR="00AB18EB" w:rsidRPr="00EE0D48" w:rsidTr="00AB18EB">
        <w:trPr>
          <w:trHeight w:val="73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2 710,5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4 664,0</w:t>
            </w:r>
          </w:p>
        </w:tc>
      </w:tr>
      <w:tr w:rsidR="00AB18EB" w:rsidRPr="00EE0D48" w:rsidTr="00AB18EB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</w:tr>
      <w:tr w:rsidR="00AB18EB" w:rsidRPr="00EE0D48" w:rsidTr="00AB18EB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1 06 01030 10 0000 110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</w:tr>
      <w:tr w:rsidR="00AB18EB" w:rsidRPr="00EE0D48" w:rsidTr="00AB18EB">
        <w:trPr>
          <w:trHeight w:val="5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4 134,2</w:t>
            </w:r>
          </w:p>
        </w:tc>
      </w:tr>
      <w:tr w:rsidR="00AB18EB" w:rsidRPr="00EE0D48" w:rsidTr="00AB18EB">
        <w:trPr>
          <w:trHeight w:val="3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</w:tr>
      <w:tr w:rsidR="00AB18EB" w:rsidRPr="00EE0D48" w:rsidTr="00AB18EB">
        <w:trPr>
          <w:trHeight w:val="5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</w:tr>
      <w:tr w:rsidR="00AB18EB" w:rsidRPr="00EE0D48" w:rsidTr="00AB18EB">
        <w:trPr>
          <w:trHeight w:val="3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</w:tr>
      <w:tr w:rsidR="00AB18EB" w:rsidRPr="00EE0D48" w:rsidTr="00AB18EB">
        <w:trPr>
          <w:trHeight w:val="8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</w:tr>
      <w:tr w:rsidR="00AB18EB" w:rsidRPr="00EE0D48" w:rsidTr="00AB18EB">
        <w:trPr>
          <w:trHeight w:val="9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34,3</w:t>
            </w:r>
          </w:p>
        </w:tc>
      </w:tr>
      <w:tr w:rsidR="00AB18EB" w:rsidRPr="00EE0D48" w:rsidTr="00AB18EB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</w:tr>
      <w:tr w:rsidR="00AB18EB" w:rsidRPr="00EE0D48" w:rsidTr="00AB18EB">
        <w:trPr>
          <w:trHeight w:val="7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</w:tr>
      <w:tr w:rsidR="00AB18EB" w:rsidRPr="00EE0D48" w:rsidTr="00573A9C">
        <w:trPr>
          <w:trHeight w:val="5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Неналоговые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594,0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322,1</w:t>
            </w:r>
          </w:p>
        </w:tc>
      </w:tr>
      <w:tr w:rsidR="00AB18EB" w:rsidRPr="00EE0D48" w:rsidTr="00AB18EB">
        <w:trPr>
          <w:trHeight w:val="112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301,7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301,7</w:t>
            </w:r>
          </w:p>
        </w:tc>
      </w:tr>
      <w:tr w:rsidR="00AB18EB" w:rsidRPr="00EE0D48" w:rsidTr="00573A9C">
        <w:trPr>
          <w:trHeight w:val="5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B18EB">
              <w:rPr>
                <w:color w:val="00000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</w:tr>
      <w:tr w:rsidR="00AB18EB" w:rsidRPr="00EE0D48" w:rsidTr="00AB18EB">
        <w:trPr>
          <w:trHeight w:val="4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</w:tr>
      <w:tr w:rsidR="00AB18EB" w:rsidRPr="00EE0D48" w:rsidTr="00AB18EB">
        <w:trPr>
          <w:trHeight w:val="9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</w:tr>
      <w:tr w:rsidR="00AB18EB" w:rsidRPr="00EE0D48" w:rsidTr="00AB18EB">
        <w:trPr>
          <w:trHeight w:val="9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</w:tr>
      <w:tr w:rsidR="00AB18EB" w:rsidRPr="00EE0D48" w:rsidTr="00AB18EB">
        <w:trPr>
          <w:trHeight w:val="5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</w:tr>
      <w:tr w:rsidR="00AB18EB" w:rsidRPr="00EE0D48" w:rsidTr="00AB18EB">
        <w:trPr>
          <w:trHeight w:val="2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</w:tr>
      <w:tr w:rsidR="00AB18EB" w:rsidRPr="00EE0D48" w:rsidTr="00AB18EB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1 13 02060 00 0000 130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2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AB18EB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6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2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54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1 16 07000 01 0000 140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3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1 16 07090 00 0000 140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2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1 16 07090 10 0000 140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269,8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</w:tr>
      <w:tr w:rsidR="007111DF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7111DF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1 17 150</w:t>
            </w:r>
            <w:r>
              <w:rPr>
                <w:color w:val="000000"/>
              </w:rPr>
              <w:t>0</w:t>
            </w:r>
            <w:r w:rsidRPr="00AB18EB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00</w:t>
            </w:r>
            <w:r w:rsidRPr="00AB18EB">
              <w:rPr>
                <w:color w:val="000000"/>
              </w:rPr>
              <w:t xml:space="preserve">0 0000 </w:t>
            </w:r>
            <w:r>
              <w:rPr>
                <w:color w:val="000000"/>
              </w:rPr>
              <w:t>00</w:t>
            </w:r>
            <w:r w:rsidRPr="00AB18E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269,8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C351A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12</w:t>
            </w:r>
            <w:r w:rsidR="00C351A2">
              <w:rPr>
                <w:bCs/>
                <w:color w:val="000000"/>
                <w:sz w:val="26"/>
                <w:szCs w:val="26"/>
              </w:rPr>
              <w:t>4 701,2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71 736,2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17 231,8</w:t>
            </w:r>
          </w:p>
        </w:tc>
      </w:tr>
      <w:tr w:rsidR="00AB18EB" w:rsidRPr="00EE0D48" w:rsidTr="00AB18EB">
        <w:trPr>
          <w:trHeight w:val="4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C351A2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12</w:t>
            </w:r>
            <w:r w:rsidR="00C351A2">
              <w:rPr>
                <w:bCs/>
                <w:color w:val="000000"/>
              </w:rPr>
              <w:t>4 703,3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71 736,2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17 231,8</w:t>
            </w:r>
          </w:p>
        </w:tc>
      </w:tr>
      <w:tr w:rsidR="00AB18EB" w:rsidRPr="00EE0D48" w:rsidTr="00AB18EB">
        <w:trPr>
          <w:trHeight w:val="6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21 383,7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14 736,4</w:t>
            </w:r>
          </w:p>
        </w:tc>
      </w:tr>
      <w:tr w:rsidR="00AB18EB" w:rsidRPr="00EE0D48" w:rsidTr="00AB18EB">
        <w:trPr>
          <w:trHeight w:val="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14 736,4</w:t>
            </w:r>
          </w:p>
        </w:tc>
      </w:tr>
      <w:tr w:rsidR="00AB18EB" w:rsidRPr="00EE0D48" w:rsidTr="00AB18EB">
        <w:trPr>
          <w:trHeight w:val="6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14 736,4</w:t>
            </w:r>
          </w:p>
        </w:tc>
      </w:tr>
      <w:tr w:rsidR="00AB18EB" w:rsidRPr="00EE0D48" w:rsidTr="00AB18EB">
        <w:trPr>
          <w:trHeight w:val="6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2 02 15002 10 0000 150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7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352,8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423,0</w:t>
            </w:r>
          </w:p>
        </w:tc>
      </w:tr>
      <w:tr w:rsidR="00AB18EB" w:rsidRPr="00EE0D48" w:rsidTr="00AB18EB">
        <w:trPr>
          <w:trHeight w:val="9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</w:tr>
      <w:tr w:rsidR="00AB18EB" w:rsidRPr="00EE0D48" w:rsidTr="00AB18EB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2 02 30024 10 0000 150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2 02 35118 00 0000 150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352,6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422,8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2 02 35118 10 0000 150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352,6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422,8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C351A2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10</w:t>
            </w:r>
            <w:r w:rsidR="00C351A2">
              <w:rPr>
                <w:color w:val="000000"/>
              </w:rPr>
              <w:t>2 966,8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54 974,8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2 072,4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2 02 40014 00 0000 150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C351A2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7 082,1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AB18EB">
              <w:rPr>
                <w:color w:val="000000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2 02 40014 10 0000 150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C351A2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7 082,1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95 884,7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2 072,4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2 02 49999 10 0000 150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95 884,7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2 072,4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2 19 00000 00 0000 000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2 19 00000 10 0000 150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  <w:r w:rsidR="000A3C06">
              <w:rPr>
                <w:color w:val="000000"/>
              </w:rPr>
              <w:t>»;</w:t>
            </w:r>
          </w:p>
        </w:tc>
      </w:tr>
    </w:tbl>
    <w:p w:rsidR="005269AC" w:rsidRDefault="005269AC" w:rsidP="006B22E8"/>
    <w:p w:rsidR="005269AC" w:rsidRDefault="005269AC" w:rsidP="006B22E8"/>
    <w:p w:rsidR="005269AC" w:rsidRPr="00A429EA" w:rsidRDefault="005269AC" w:rsidP="00A429EA">
      <w:pPr>
        <w:sectPr w:rsidR="005269AC" w:rsidRPr="00A429EA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C351A2" w:rsidP="00C351A2">
            <w:pPr>
              <w:jc w:val="right"/>
            </w:pPr>
            <w:r>
              <w:rPr>
                <w:color w:val="000000"/>
              </w:rPr>
              <w:t>130 948,2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0A3C06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351A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A2" w:rsidRDefault="00C351A2" w:rsidP="00C351A2">
            <w:pPr>
              <w:jc w:val="right"/>
            </w:pPr>
            <w:r w:rsidRPr="0034095A">
              <w:rPr>
                <w:color w:val="000000"/>
              </w:rPr>
              <w:t>130 948,2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A2" w:rsidRPr="00EE0D48" w:rsidRDefault="00C351A2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351A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A2" w:rsidRDefault="00C351A2" w:rsidP="00C351A2">
            <w:pPr>
              <w:jc w:val="right"/>
            </w:pPr>
            <w:r w:rsidRPr="0034095A">
              <w:rPr>
                <w:color w:val="000000"/>
              </w:rPr>
              <w:t>130 948,2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A2" w:rsidRPr="00EE0D48" w:rsidRDefault="00C351A2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351A2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A2" w:rsidRDefault="00C351A2" w:rsidP="00C351A2">
            <w:pPr>
              <w:jc w:val="right"/>
            </w:pPr>
            <w:r w:rsidRPr="0034095A">
              <w:rPr>
                <w:color w:val="000000"/>
              </w:rPr>
              <w:t>130 948,2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A2" w:rsidRPr="00EE0D48" w:rsidRDefault="00C351A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0A3C06" w:rsidRPr="00481FD6" w:rsidTr="007A4147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C06" w:rsidRPr="00481FD6" w:rsidRDefault="000A3C0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06" w:rsidRPr="00481FD6" w:rsidRDefault="000A3C06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C06" w:rsidRDefault="00C351A2" w:rsidP="00222D23">
            <w:pPr>
              <w:jc w:val="right"/>
            </w:pPr>
            <w:r>
              <w:rPr>
                <w:color w:val="000000"/>
              </w:rPr>
              <w:t>131 119,7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C06" w:rsidRDefault="000A3C06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C06" w:rsidRPr="00EE0D48" w:rsidRDefault="000A3C06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351A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A2" w:rsidRDefault="00C351A2" w:rsidP="00C351A2">
            <w:pPr>
              <w:jc w:val="right"/>
            </w:pPr>
            <w:r w:rsidRPr="007F6BA0">
              <w:rPr>
                <w:color w:val="000000"/>
              </w:rPr>
              <w:t>131 119,7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A2" w:rsidRPr="00EE0D48" w:rsidRDefault="00C351A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351A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A2" w:rsidRDefault="00C351A2" w:rsidP="00C351A2">
            <w:pPr>
              <w:jc w:val="right"/>
            </w:pPr>
            <w:r w:rsidRPr="007F6BA0">
              <w:rPr>
                <w:color w:val="000000"/>
              </w:rPr>
              <w:t>131 119,7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A2" w:rsidRPr="00EE0D48" w:rsidRDefault="00C351A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351A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1A2" w:rsidRDefault="00C351A2" w:rsidP="00C351A2">
            <w:pPr>
              <w:jc w:val="right"/>
            </w:pPr>
            <w:r w:rsidRPr="007F6BA0">
              <w:rPr>
                <w:color w:val="000000"/>
              </w:rPr>
              <w:t>131 119,7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A2" w:rsidRPr="00EE0D48" w:rsidRDefault="00C351A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0A3C06" w:rsidP="005269AC">
            <w:r>
              <w:rPr>
                <w:b/>
                <w:bCs/>
              </w:rPr>
              <w:t>5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7A4147" w:rsidP="002E4C35">
      <w:r>
        <w:rPr>
          <w:b/>
          <w:bCs/>
        </w:rPr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тыс.рублей</w:t>
      </w:r>
    </w:p>
    <w:tbl>
      <w:tblPr>
        <w:tblW w:w="15317" w:type="dxa"/>
        <w:tblInd w:w="93" w:type="dxa"/>
        <w:tblLook w:val="04A0"/>
      </w:tblPr>
      <w:tblGrid>
        <w:gridCol w:w="7528"/>
        <w:gridCol w:w="851"/>
        <w:gridCol w:w="708"/>
        <w:gridCol w:w="1610"/>
        <w:gridCol w:w="850"/>
        <w:gridCol w:w="1219"/>
        <w:gridCol w:w="1276"/>
        <w:gridCol w:w="1275"/>
      </w:tblGrid>
      <w:tr w:rsidR="0072198C" w:rsidRPr="00BC5784" w:rsidTr="00A21AF8">
        <w:trPr>
          <w:trHeight w:val="920"/>
          <w:tblHeader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A21AF8" w:rsidRDefault="0072198C" w:rsidP="0072198C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Наименование</w:t>
            </w:r>
          </w:p>
          <w:p w:rsidR="0072198C" w:rsidRPr="00A21AF8" w:rsidRDefault="0072198C" w:rsidP="007219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A21AF8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2026 г.</w:t>
            </w:r>
          </w:p>
        </w:tc>
      </w:tr>
      <w:tr w:rsidR="00A21AF8" w:rsidRPr="00BC5784" w:rsidTr="00A21AF8">
        <w:trPr>
          <w:trHeight w:val="453"/>
          <w:tblHeader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F8" w:rsidRPr="00A21AF8" w:rsidRDefault="00A21AF8" w:rsidP="007219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A21AF8" w:rsidRDefault="0072198C" w:rsidP="0072198C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0E3B5A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13</w:t>
            </w:r>
            <w:r w:rsidR="000E3B5A">
              <w:rPr>
                <w:bCs/>
                <w:color w:val="000000"/>
              </w:rPr>
              <w:t>1 119,7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8D2D76" w:rsidP="00BC578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79 664,8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25 160,4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A21AF8" w:rsidRDefault="0072198C" w:rsidP="0072198C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11 360,0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12 748,1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14 336,5</w:t>
            </w:r>
          </w:p>
        </w:tc>
      </w:tr>
      <w:tr w:rsidR="0072198C" w:rsidRPr="00BC5784" w:rsidTr="0072198C">
        <w:trPr>
          <w:trHeight w:val="108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11 011,3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11 058,8</w:t>
            </w:r>
          </w:p>
        </w:tc>
      </w:tr>
      <w:tr w:rsidR="0072198C" w:rsidRPr="00BC5784" w:rsidTr="0072198C">
        <w:trPr>
          <w:trHeight w:val="24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</w:tr>
      <w:tr w:rsidR="0072198C" w:rsidRPr="00BC5784" w:rsidTr="00A21AF8">
        <w:trPr>
          <w:trHeight w:val="132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1.2.0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9 098,9</w:t>
            </w:r>
          </w:p>
        </w:tc>
      </w:tr>
      <w:tr w:rsidR="0072198C" w:rsidRPr="00BC5784" w:rsidTr="00A21AF8">
        <w:trPr>
          <w:trHeight w:val="17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1 528,0</w:t>
            </w:r>
          </w:p>
        </w:tc>
      </w:tr>
      <w:tr w:rsidR="0072198C" w:rsidRPr="00BC5784" w:rsidTr="00B454A2">
        <w:trPr>
          <w:trHeight w:val="19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7,9</w:t>
            </w:r>
          </w:p>
        </w:tc>
      </w:tr>
      <w:tr w:rsidR="0072198C" w:rsidRPr="00BC5784" w:rsidTr="00B454A2">
        <w:trPr>
          <w:trHeight w:val="143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368,8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B454A2">
              <w:rPr>
                <w:color w:val="000000"/>
              </w:rPr>
              <w:t xml:space="preserve"> </w:t>
            </w:r>
            <w:r w:rsidRPr="00BC5784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0,2</w:t>
            </w:r>
          </w:p>
        </w:tc>
      </w:tr>
      <w:tr w:rsidR="0072198C" w:rsidRPr="00BC5784" w:rsidTr="00B454A2">
        <w:trPr>
          <w:trHeight w:val="9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132,6</w:t>
            </w:r>
          </w:p>
        </w:tc>
      </w:tr>
      <w:tr w:rsidR="0072198C" w:rsidRPr="00BC5784" w:rsidTr="00B454A2">
        <w:trPr>
          <w:trHeight w:val="212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58,8</w:t>
            </w:r>
          </w:p>
        </w:tc>
      </w:tr>
      <w:tr w:rsidR="0072198C" w:rsidRPr="00BC5784" w:rsidTr="00B454A2">
        <w:trPr>
          <w:trHeight w:val="15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73,8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1 020,7</w:t>
            </w:r>
          </w:p>
        </w:tc>
      </w:tr>
      <w:tr w:rsidR="0072198C" w:rsidRPr="00BC5784" w:rsidTr="0072198C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1 020,7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</w:tr>
      <w:tr w:rsidR="0072198C" w:rsidRPr="00BC5784" w:rsidTr="00B454A2">
        <w:trPr>
          <w:trHeight w:val="12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8.7.0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2 069,4</w:t>
            </w:r>
          </w:p>
        </w:tc>
      </w:tr>
      <w:tr w:rsidR="0072198C" w:rsidRPr="00BC5784" w:rsidTr="00B454A2">
        <w:trPr>
          <w:trHeight w:val="25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03.1.00.28120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10,0</w:t>
            </w:r>
          </w:p>
        </w:tc>
      </w:tr>
      <w:tr w:rsidR="0072198C" w:rsidRPr="00BC5784" w:rsidTr="00B454A2">
        <w:trPr>
          <w:trHeight w:val="211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454A2">
              <w:rPr>
                <w:color w:val="000000"/>
              </w:rPr>
              <w:t xml:space="preserve"> </w:t>
            </w:r>
            <w:r w:rsidRPr="00BC5784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17,0</w:t>
            </w:r>
          </w:p>
        </w:tc>
      </w:tr>
      <w:tr w:rsidR="0072198C" w:rsidRPr="00BC5784" w:rsidTr="00B454A2">
        <w:trPr>
          <w:trHeight w:val="18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08.1.00.28290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20,0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60,0</w:t>
            </w:r>
          </w:p>
        </w:tc>
      </w:tr>
      <w:tr w:rsidR="0072198C" w:rsidRPr="00BC5784" w:rsidTr="00B454A2">
        <w:trPr>
          <w:trHeight w:val="212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09.2.00.28350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40,0</w:t>
            </w:r>
          </w:p>
        </w:tc>
      </w:tr>
      <w:tr w:rsidR="0072198C" w:rsidRPr="00BC5784" w:rsidTr="00B454A2">
        <w:trPr>
          <w:trHeight w:val="19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09.2.00.85999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3.6.0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57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634,1</w:t>
            </w:r>
          </w:p>
        </w:tc>
      </w:tr>
      <w:tr w:rsidR="0072198C" w:rsidRPr="00BC5784" w:rsidTr="00B454A2">
        <w:trPr>
          <w:trHeight w:val="11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8.3.0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00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1 133,3</w:t>
            </w:r>
          </w:p>
        </w:tc>
      </w:tr>
      <w:tr w:rsidR="0072198C" w:rsidRPr="00BC5784" w:rsidTr="00B454A2">
        <w:trPr>
          <w:trHeight w:val="126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155,0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422,8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422,8</w:t>
            </w:r>
          </w:p>
        </w:tc>
      </w:tr>
      <w:tr w:rsidR="0072198C" w:rsidRPr="00BC5784" w:rsidTr="00B454A2">
        <w:trPr>
          <w:trHeight w:val="15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1.2.0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422,8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250,7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170,0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454A2">
              <w:rPr>
                <w:color w:val="000000"/>
              </w:rPr>
              <w:t xml:space="preserve"> </w:t>
            </w:r>
            <w:r w:rsidRPr="00BC5784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</w:tr>
      <w:tr w:rsidR="0072198C" w:rsidRPr="00BC5784" w:rsidTr="00B454A2">
        <w:trPr>
          <w:trHeight w:val="256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04.2.00.28140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70,0</w:t>
            </w:r>
          </w:p>
        </w:tc>
      </w:tr>
      <w:tr w:rsidR="0072198C" w:rsidRPr="00BC5784" w:rsidTr="00B454A2">
        <w:trPr>
          <w:trHeight w:val="70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7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0E3B5A" w:rsidP="00BC57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53 712,</w:t>
            </w:r>
            <w:r w:rsidR="008D2D76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100,0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0E3B5A" w:rsidP="00BC57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53 612,</w:t>
            </w:r>
            <w:r w:rsidR="008D2D76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19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07.1.00.86180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07.1.00.S3460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0E3B5A" w:rsidP="00BC57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8D2D76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53 612,</w:t>
            </w:r>
            <w:r w:rsidR="008D2D76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18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07.2.00.86110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</w:tr>
      <w:tr w:rsidR="0072198C" w:rsidRPr="00BC5784" w:rsidTr="00B454A2">
        <w:trPr>
          <w:trHeight w:val="262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13.1.00.28600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</w:tr>
      <w:tr w:rsidR="0072198C" w:rsidRPr="00BC5784" w:rsidTr="00B454A2">
        <w:trPr>
          <w:trHeight w:val="18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99 228,5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6 077,5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5 768,6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89 379,5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</w:tr>
      <w:tr w:rsidR="0072198C" w:rsidRPr="00BC5784" w:rsidTr="00B454A2">
        <w:trPr>
          <w:trHeight w:val="24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75 032,8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21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17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99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299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8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02.1.00.28540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</w:tr>
      <w:tr w:rsidR="0072198C" w:rsidRPr="00BC5784" w:rsidTr="00B454A2">
        <w:trPr>
          <w:trHeight w:val="28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02.2.00.28690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270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02.2.00.S3660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</w:tr>
      <w:tr w:rsidR="0072198C" w:rsidRPr="00BC5784" w:rsidTr="008C1BB4">
        <w:trPr>
          <w:trHeight w:val="178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1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4 219,1</w:t>
            </w:r>
          </w:p>
        </w:tc>
      </w:tr>
      <w:tr w:rsidR="0072198C" w:rsidRPr="00BC5784" w:rsidTr="00A523A9">
        <w:trPr>
          <w:trHeight w:val="17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02.2.00.28110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250,0</w:t>
            </w:r>
          </w:p>
        </w:tc>
      </w:tr>
      <w:tr w:rsidR="0072198C" w:rsidRPr="00BC5784" w:rsidTr="00A523A9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400,0</w:t>
            </w:r>
          </w:p>
        </w:tc>
      </w:tr>
      <w:tr w:rsidR="0072198C" w:rsidRPr="00BC5784" w:rsidTr="00A523A9">
        <w:trPr>
          <w:trHeight w:val="22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3 399,4</w:t>
            </w:r>
          </w:p>
        </w:tc>
      </w:tr>
      <w:tr w:rsidR="0072198C" w:rsidRPr="00BC5784" w:rsidTr="00245BA8">
        <w:trPr>
          <w:trHeight w:val="228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169,7</w:t>
            </w:r>
          </w:p>
        </w:tc>
      </w:tr>
      <w:tr w:rsidR="0072198C" w:rsidRPr="00BC5784" w:rsidTr="00245BA8">
        <w:trPr>
          <w:trHeight w:val="199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7E0F1A" w:rsidRDefault="0072198C" w:rsidP="007E0F1A">
            <w:pPr>
              <w:rPr>
                <w:color w:val="000000"/>
                <w:lang w:val="en-US"/>
              </w:rPr>
            </w:pPr>
            <w:r w:rsidRPr="00BC5784">
              <w:rPr>
                <w:color w:val="000000"/>
              </w:rPr>
              <w:t>11.1.00.</w:t>
            </w:r>
            <w:r w:rsidR="007E0F1A">
              <w:rPr>
                <w:color w:val="000000"/>
                <w:lang w:val="en-US"/>
              </w:rPr>
              <w:t>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2 760,6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245BA8">
        <w:trPr>
          <w:trHeight w:val="182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850,0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850,0</w:t>
            </w:r>
          </w:p>
        </w:tc>
      </w:tr>
      <w:tr w:rsidR="0072198C" w:rsidRPr="00BC5784" w:rsidTr="00245BA8">
        <w:trPr>
          <w:trHeight w:val="229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850,0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30,0</w:t>
            </w:r>
          </w:p>
        </w:tc>
      </w:tr>
      <w:tr w:rsidR="0072198C" w:rsidRPr="00BC5784" w:rsidTr="0072198C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</w:tr>
      <w:tr w:rsidR="0072198C" w:rsidRPr="00BC5784" w:rsidTr="00245BA8">
        <w:trPr>
          <w:trHeight w:val="28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09.1.00.28320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3 294,1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3 294,1</w:t>
            </w:r>
          </w:p>
        </w:tc>
      </w:tr>
      <w:tr w:rsidR="0072198C" w:rsidRPr="00BC5784" w:rsidTr="00245BA8">
        <w:trPr>
          <w:trHeight w:val="175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6.1.0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12 060,7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3 229,8</w:t>
            </w:r>
          </w:p>
        </w:tc>
      </w:tr>
      <w:tr w:rsidR="0072198C" w:rsidRPr="00BC5784" w:rsidTr="00245BA8">
        <w:trPr>
          <w:trHeight w:val="225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05.1.00.87020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64,3</w:t>
            </w:r>
          </w:p>
        </w:tc>
      </w:tr>
      <w:tr w:rsidR="0072198C" w:rsidRPr="00BC5784" w:rsidTr="00245BA8">
        <w:trPr>
          <w:trHeight w:val="17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6.1.0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173,4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</w:tr>
      <w:tr w:rsidR="0072198C" w:rsidRPr="00BC5784" w:rsidTr="00245BA8">
        <w:trPr>
          <w:trHeight w:val="261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14.1.00.28670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3.1.0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15,0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</w:tr>
      <w:tr w:rsidR="0072198C" w:rsidRPr="00BC5784" w:rsidTr="0072198C">
        <w:trPr>
          <w:trHeight w:val="28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  <w:r w:rsidR="00A21AF8">
              <w:rPr>
                <w:color w:val="000000"/>
              </w:rPr>
              <w:t>»;</w:t>
            </w:r>
          </w:p>
        </w:tc>
      </w:tr>
    </w:tbl>
    <w:p w:rsidR="00BC5784" w:rsidRDefault="00BC5784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BC5784" w:rsidRDefault="00BC5784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F60C53" w:rsidRPr="00481FD6" w:rsidRDefault="007A4147" w:rsidP="00F60C53">
      <w:r>
        <w:rPr>
          <w:b/>
          <w:bCs/>
        </w:rPr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FC3A1D" w:rsidRPr="00481FD6" w:rsidRDefault="00FC3A1D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5530" w:type="dxa"/>
        <w:tblInd w:w="93" w:type="dxa"/>
        <w:tblLook w:val="04A0"/>
      </w:tblPr>
      <w:tblGrid>
        <w:gridCol w:w="6819"/>
        <w:gridCol w:w="993"/>
        <w:gridCol w:w="708"/>
        <w:gridCol w:w="851"/>
        <w:gridCol w:w="1623"/>
        <w:gridCol w:w="709"/>
        <w:gridCol w:w="1276"/>
        <w:gridCol w:w="1275"/>
        <w:gridCol w:w="1276"/>
      </w:tblGrid>
      <w:tr w:rsidR="00000CCA" w:rsidRPr="00000CCA" w:rsidTr="005A31EF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5A31EF" w:rsidP="005A31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2026 г.</w:t>
            </w:r>
          </w:p>
        </w:tc>
      </w:tr>
      <w:tr w:rsidR="00000CCA" w:rsidRPr="00000CCA" w:rsidTr="00000CCA">
        <w:trPr>
          <w:trHeight w:val="30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</w:tr>
      <w:tr w:rsidR="00000CCA" w:rsidRPr="00000CCA" w:rsidTr="00000CCA">
        <w:trPr>
          <w:trHeight w:val="30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</w:tr>
      <w:tr w:rsidR="00000CCA" w:rsidRPr="00000CCA" w:rsidTr="00000CC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E3B5A" w:rsidP="00000C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131 119,7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8D2D76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79 664,</w:t>
            </w:r>
            <w:r w:rsidR="008D2D76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25 160,4</w:t>
            </w:r>
          </w:p>
        </w:tc>
      </w:tr>
      <w:tr w:rsidR="00000CCA" w:rsidRPr="00000CCA" w:rsidTr="00000CCA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E3B5A" w:rsidP="00000C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131 119,7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8D2D76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79 664,</w:t>
            </w:r>
            <w:r w:rsidR="008D2D76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25 160,4</w:t>
            </w:r>
          </w:p>
        </w:tc>
      </w:tr>
      <w:tr w:rsidR="00000CCA" w:rsidRPr="00000CCA" w:rsidTr="005A31EF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09.1.00.28650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</w:tr>
      <w:tr w:rsidR="00000CCA" w:rsidRPr="00000CCA" w:rsidTr="005A31EF">
        <w:trPr>
          <w:trHeight w:val="19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9 098,9</w:t>
            </w:r>
          </w:p>
        </w:tc>
      </w:tr>
      <w:tr w:rsidR="00000CCA" w:rsidRPr="00000CCA" w:rsidTr="005A31EF">
        <w:trPr>
          <w:trHeight w:val="2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1 048,7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1 528,0</w:t>
            </w:r>
          </w:p>
        </w:tc>
      </w:tr>
      <w:tr w:rsidR="00000CCA" w:rsidRPr="00000CCA" w:rsidTr="005A31EF">
        <w:trPr>
          <w:trHeight w:val="21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7,9</w:t>
            </w:r>
          </w:p>
        </w:tc>
      </w:tr>
      <w:tr w:rsidR="00000CCA" w:rsidRPr="00000CCA" w:rsidTr="005A31EF">
        <w:trPr>
          <w:trHeight w:val="212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368,8</w:t>
            </w:r>
          </w:p>
        </w:tc>
      </w:tr>
      <w:tr w:rsidR="00000CCA" w:rsidRPr="00000CCA" w:rsidTr="005A31EF">
        <w:trPr>
          <w:trHeight w:val="21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5A31EF">
              <w:rPr>
                <w:iCs/>
                <w:color w:val="000000"/>
              </w:rPr>
              <w:t xml:space="preserve"> </w:t>
            </w:r>
            <w:r w:rsidRPr="00000CCA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0,2</w:t>
            </w:r>
          </w:p>
        </w:tc>
      </w:tr>
      <w:tr w:rsidR="00000CCA" w:rsidRPr="00000CCA" w:rsidTr="005A31EF">
        <w:trPr>
          <w:trHeight w:val="19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58,8</w:t>
            </w:r>
          </w:p>
        </w:tc>
      </w:tr>
      <w:tr w:rsidR="00000CCA" w:rsidRPr="00000CCA" w:rsidTr="005A31EF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73,8</w:t>
            </w:r>
          </w:p>
        </w:tc>
      </w:tr>
      <w:tr w:rsidR="00000CCA" w:rsidRPr="00000CCA" w:rsidTr="005A31EF">
        <w:trPr>
          <w:trHeight w:val="5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1 020,7</w:t>
            </w:r>
          </w:p>
        </w:tc>
      </w:tr>
      <w:tr w:rsidR="00000CCA" w:rsidRPr="00000CCA" w:rsidTr="005A31EF">
        <w:trPr>
          <w:trHeight w:val="10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</w:tr>
      <w:tr w:rsidR="00000CCA" w:rsidRPr="00000CCA" w:rsidTr="005A31EF">
        <w:trPr>
          <w:trHeight w:val="23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03.1.00.28120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10,0</w:t>
            </w:r>
          </w:p>
        </w:tc>
      </w:tr>
      <w:tr w:rsidR="00000CCA" w:rsidRPr="00000CCA" w:rsidTr="005A31EF">
        <w:trPr>
          <w:trHeight w:val="21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5A31EF">
              <w:rPr>
                <w:iCs/>
                <w:color w:val="000000"/>
              </w:rPr>
              <w:t xml:space="preserve"> </w:t>
            </w:r>
            <w:r w:rsidRPr="00000C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17,0</w:t>
            </w:r>
          </w:p>
        </w:tc>
      </w:tr>
      <w:tr w:rsidR="00000CCA" w:rsidRPr="00000CCA" w:rsidTr="005A31EF">
        <w:trPr>
          <w:trHeight w:val="21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20,0</w:t>
            </w:r>
          </w:p>
        </w:tc>
      </w:tr>
      <w:tr w:rsidR="00000CCA" w:rsidRPr="00000CCA" w:rsidTr="005A31EF">
        <w:trPr>
          <w:trHeight w:val="20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09.2.00.28340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60,0</w:t>
            </w:r>
          </w:p>
        </w:tc>
      </w:tr>
      <w:tr w:rsidR="00000CCA" w:rsidRPr="00000CCA" w:rsidTr="005A31EF">
        <w:trPr>
          <w:trHeight w:val="1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09.2.00.28350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40,0</w:t>
            </w:r>
          </w:p>
        </w:tc>
      </w:tr>
      <w:tr w:rsidR="00000CCA" w:rsidRPr="00000CCA" w:rsidTr="005A31EF">
        <w:trPr>
          <w:trHeight w:val="13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09.2.00.85999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3.6.0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20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634,1</w:t>
            </w:r>
          </w:p>
        </w:tc>
      </w:tr>
      <w:tr w:rsidR="00000CCA" w:rsidRPr="00000CCA" w:rsidTr="00493237">
        <w:trPr>
          <w:trHeight w:val="6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1 133,3</w:t>
            </w:r>
          </w:p>
        </w:tc>
      </w:tr>
      <w:tr w:rsidR="00000CCA" w:rsidRPr="00000CCA" w:rsidTr="00493237">
        <w:trPr>
          <w:trHeight w:val="9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155,0</w:t>
            </w:r>
          </w:p>
        </w:tc>
      </w:tr>
      <w:tr w:rsidR="00000CCA" w:rsidRPr="00000CCA" w:rsidTr="00493237">
        <w:trPr>
          <w:trHeight w:val="12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422,8</w:t>
            </w:r>
          </w:p>
        </w:tc>
      </w:tr>
      <w:tr w:rsidR="00000CCA" w:rsidRPr="00000CCA" w:rsidTr="00493237">
        <w:trPr>
          <w:trHeight w:val="18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493237">
              <w:rPr>
                <w:iCs/>
                <w:color w:val="000000"/>
              </w:rPr>
              <w:t xml:space="preserve"> </w:t>
            </w:r>
            <w:r w:rsidRPr="00000C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</w:tr>
      <w:tr w:rsidR="00000CCA" w:rsidRPr="00000CCA" w:rsidTr="00493237">
        <w:trPr>
          <w:trHeight w:val="26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04.2.00.28140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70,0</w:t>
            </w:r>
          </w:p>
        </w:tc>
      </w:tr>
      <w:tr w:rsidR="00000CCA" w:rsidRPr="00000CCA" w:rsidTr="00493237">
        <w:trPr>
          <w:trHeight w:val="1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07.1.00.86180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8D2D76">
        <w:trPr>
          <w:trHeight w:val="3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 xml:space="preserve"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</w:t>
            </w:r>
            <w:r w:rsidRPr="00000CCA">
              <w:rPr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07.1.00.S3460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E3B5A" w:rsidP="00000CC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8D2D76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53 612,</w:t>
            </w:r>
            <w:r w:rsidR="008D2D76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17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07.2.00.86110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13.1.00.28600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</w:tr>
      <w:tr w:rsidR="00000CCA" w:rsidRPr="00000CCA" w:rsidTr="00B65955">
        <w:trPr>
          <w:trHeight w:val="6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75 032,8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7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7 702,9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0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01.2.00.S5170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3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02.1.00.28540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260,0</w:t>
            </w:r>
          </w:p>
        </w:tc>
      </w:tr>
      <w:tr w:rsidR="00000CCA" w:rsidRPr="00000CCA" w:rsidTr="00B65955">
        <w:trPr>
          <w:trHeight w:val="2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02.2.00.28690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6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02.2.00.S3660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1 289,5</w:t>
            </w:r>
          </w:p>
        </w:tc>
      </w:tr>
      <w:tr w:rsidR="00000CCA" w:rsidRPr="00000CCA" w:rsidTr="00B65955">
        <w:trPr>
          <w:trHeight w:val="14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9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02.2.00.28110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250,0</w:t>
            </w:r>
          </w:p>
        </w:tc>
      </w:tr>
      <w:tr w:rsidR="00000CCA" w:rsidRPr="00000CCA" w:rsidTr="00B65955">
        <w:trPr>
          <w:trHeight w:val="2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7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400,0</w:t>
            </w:r>
          </w:p>
        </w:tc>
      </w:tr>
      <w:tr w:rsidR="00000CCA" w:rsidRPr="00000CCA" w:rsidTr="00B65955">
        <w:trPr>
          <w:trHeight w:val="21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3 399,4</w:t>
            </w:r>
          </w:p>
        </w:tc>
      </w:tr>
      <w:tr w:rsidR="00000CCA" w:rsidRPr="00000CCA" w:rsidTr="00B65955">
        <w:trPr>
          <w:trHeight w:val="2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169,7</w:t>
            </w:r>
          </w:p>
        </w:tc>
      </w:tr>
      <w:tr w:rsidR="00000CCA" w:rsidRPr="00000CCA" w:rsidTr="00B65955">
        <w:trPr>
          <w:trHeight w:val="26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</w:t>
            </w:r>
            <w:r w:rsidR="007E0F1A">
              <w:rPr>
                <w:color w:val="000000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7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1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15.1.00.86020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850,0</w:t>
            </w:r>
          </w:p>
        </w:tc>
      </w:tr>
      <w:tr w:rsidR="00000CCA" w:rsidRPr="00000CCA" w:rsidTr="00B65955">
        <w:trPr>
          <w:trHeight w:val="25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09.1.00.28320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30,0</w:t>
            </w:r>
          </w:p>
        </w:tc>
      </w:tr>
      <w:tr w:rsidR="00000CCA" w:rsidRPr="00000CCA" w:rsidTr="00B65955">
        <w:trPr>
          <w:trHeight w:val="15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12 060,7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3 229,8</w:t>
            </w:r>
          </w:p>
        </w:tc>
      </w:tr>
      <w:tr w:rsidR="00000CCA" w:rsidRPr="00000CCA" w:rsidTr="00B65955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05.1.00.87020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64,3</w:t>
            </w:r>
          </w:p>
        </w:tc>
      </w:tr>
      <w:tr w:rsidR="00000CCA" w:rsidRPr="00000CCA" w:rsidTr="00B65955">
        <w:trPr>
          <w:trHeight w:val="11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</w:t>
            </w:r>
            <w:r w:rsidRPr="00000CCA">
              <w:rPr>
                <w:iCs/>
                <w:color w:val="000000"/>
              </w:rPr>
              <w:lastRenderedPageBreak/>
              <w:t>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6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14.1.00.28670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173,4</w:t>
            </w:r>
          </w:p>
        </w:tc>
      </w:tr>
      <w:tr w:rsidR="00000CCA" w:rsidRPr="00000CCA" w:rsidTr="00B65955">
        <w:trPr>
          <w:trHeight w:val="16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15,0»;</w:t>
            </w:r>
          </w:p>
        </w:tc>
      </w:tr>
    </w:tbl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000CCA" w:rsidRDefault="00000CCA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47303B" w:rsidRPr="00481FD6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  <w:rPr>
          <w:b/>
        </w:rPr>
      </w:pPr>
      <w:r>
        <w:tab/>
      </w:r>
      <w:r>
        <w:tab/>
      </w:r>
      <w:r>
        <w:tab/>
      </w:r>
      <w:r w:rsidR="0047303B" w:rsidRPr="00481FD6">
        <w:t xml:space="preserve">                     (тыс.рублей)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 </w:t>
            </w:r>
          </w:p>
          <w:p w:rsidR="0047303B" w:rsidRPr="00B01A33" w:rsidRDefault="007A4147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lastRenderedPageBreak/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lastRenderedPageBreak/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Pr="00B80675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tbl>
      <w:tblPr>
        <w:tblW w:w="15750" w:type="dxa"/>
        <w:tblInd w:w="93" w:type="dxa"/>
        <w:tblLayout w:type="fixed"/>
        <w:tblLook w:val="04A0"/>
      </w:tblPr>
      <w:tblGrid>
        <w:gridCol w:w="8237"/>
        <w:gridCol w:w="1743"/>
        <w:gridCol w:w="696"/>
        <w:gridCol w:w="941"/>
        <w:gridCol w:w="567"/>
        <w:gridCol w:w="1276"/>
        <w:gridCol w:w="1134"/>
        <w:gridCol w:w="1156"/>
      </w:tblGrid>
      <w:tr w:rsidR="00B80675" w:rsidRPr="00B80675" w:rsidTr="00CB1C83">
        <w:trPr>
          <w:trHeight w:val="630"/>
          <w:tblHeader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Наименование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ВР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2026 г.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</w:tr>
      <w:tr w:rsidR="00B80675" w:rsidRPr="00B80675" w:rsidTr="00B80675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131 119,7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79 664,</w:t>
            </w:r>
            <w:r w:rsidR="008D2D76">
              <w:rPr>
                <w:bCs/>
                <w:color w:val="000000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25 160,4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89 155,1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89 155,1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31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75 032,8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01.2.00.S3160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7 702,9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1 350,8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28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1 799,5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1 799,5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5 993,6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1 539,5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1 539,5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250,0</w:t>
            </w:r>
          </w:p>
        </w:tc>
      </w:tr>
      <w:tr w:rsidR="00B80675" w:rsidRPr="00B80675" w:rsidTr="00B80675">
        <w:trPr>
          <w:trHeight w:val="28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02.2.00.28690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3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1 289,5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1 289,5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187,0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117,0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117,0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6 216,0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3 294,1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6 216,0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3 294,1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12 060,7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6 151,7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3 229,8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64,3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64,3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53 612,</w:t>
            </w:r>
            <w:r w:rsidR="008D2D76">
              <w:rPr>
                <w:bCs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6 672,1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53 612,</w:t>
            </w:r>
            <w:r w:rsidR="008D2D76">
              <w:rPr>
                <w:bCs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5 158,7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53 612,</w:t>
            </w:r>
            <w:r w:rsidR="008D2D76">
              <w:rPr>
                <w:bCs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185,0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занятых в системе  местного самоуправления"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85,0</w:t>
            </w:r>
          </w:p>
        </w:tc>
      </w:tr>
      <w:tr w:rsidR="00B80675" w:rsidRPr="00B80675" w:rsidTr="00B80675">
        <w:trPr>
          <w:trHeight w:val="28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8.5.0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09.2.00.85999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3.6.0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10 925,1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11 659,5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11 696,5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10 925,1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11 659,5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11 696,5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1.2.0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9 098,9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9 098,9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1 480,7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1 528,0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8.5.0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7,9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368,8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368,8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58,8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58,8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8.5.0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644,6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634,1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4 278,0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3 969,1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4 278,0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3 969,1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947,7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3 399,4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169,7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169,7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7E0F1A" w:rsidP="00B80675">
            <w:pPr>
              <w:jc w:val="center"/>
              <w:rPr>
                <w:bCs/>
                <w:color w:val="000000"/>
              </w:rPr>
            </w:pPr>
            <w:r w:rsidRPr="00000CCA">
              <w:rPr>
                <w:iCs/>
                <w:color w:val="000000"/>
              </w:rPr>
              <w:t>11.1.00.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2 760,6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1 279,0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2 860,8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1 279,0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2 860,8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1.2.0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387,4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422,8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0,2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73,8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73,8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8.3.0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8.7.0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8.8.0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1 020,7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8.8.0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607,6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1 133,3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155,0»;</w:t>
            </w:r>
          </w:p>
        </w:tc>
      </w:tr>
    </w:tbl>
    <w:p w:rsidR="00B80675" w:rsidRDefault="00B80675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FB6476" w:rsidRPr="00481FD6" w:rsidRDefault="007A4147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9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Pr="00EE0D48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BD5F27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7A4147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1</w:t>
            </w:r>
            <w:r w:rsidR="00B01A33" w:rsidRPr="00A71345">
              <w:rPr>
                <w:sz w:val="20"/>
                <w:szCs w:val="20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FC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2</w:t>
            </w:r>
            <w:r w:rsidR="00B01A33" w:rsidRPr="00A71345">
              <w:rPr>
                <w:sz w:val="20"/>
                <w:szCs w:val="20"/>
              </w:rPr>
              <w:t>.</w:t>
            </w:r>
            <w:r w:rsidR="00B01A33" w:rsidRPr="00A71345">
              <w:rPr>
                <w:color w:val="000000"/>
                <w:sz w:val="20"/>
                <w:szCs w:val="20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A1D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3. Расходы на приобретение контейнеров для сбора ТКО</w:t>
            </w:r>
          </w:p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A71345" w:rsidRDefault="00305D79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 xml:space="preserve">4. </w:t>
            </w:r>
            <w:r w:rsidRPr="00A71345">
              <w:rPr>
                <w:iCs/>
                <w:color w:val="000000"/>
                <w:sz w:val="20"/>
                <w:szCs w:val="20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7A4147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763A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63A" w:rsidRPr="00A71345" w:rsidRDefault="0075763A" w:rsidP="00BD5F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80675">
              <w:rPr>
                <w:bCs/>
                <w:color w:val="000000"/>
              </w:rPr>
              <w:t xml:space="preserve"> </w:t>
            </w:r>
            <w:r w:rsidRPr="0075763A">
              <w:rPr>
                <w:bCs/>
                <w:color w:val="000000"/>
                <w:sz w:val="20"/>
                <w:szCs w:val="2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476352" w:rsidP="00476352">
      <w:pPr>
        <w:shd w:val="clear" w:color="auto" w:fill="FFFFFF" w:themeFill="background1"/>
      </w:pPr>
      <w:r>
        <w:rPr>
          <w:b/>
        </w:rPr>
        <w:t>9</w:t>
      </w:r>
      <w:r w:rsidRPr="00481FD6">
        <w:rPr>
          <w:b/>
        </w:rPr>
        <w:t>)</w:t>
      </w:r>
      <w:r>
        <w:t xml:space="preserve">  </w:t>
      </w:r>
      <w:r w:rsidRPr="00481FD6">
        <w:t xml:space="preserve">приложение </w:t>
      </w:r>
      <w:r>
        <w:t>10</w:t>
      </w:r>
      <w:r w:rsidRPr="00481FD6">
        <w:t xml:space="preserve"> </w:t>
      </w:r>
      <w:r>
        <w:t xml:space="preserve">изложить </w:t>
      </w:r>
      <w:r w:rsidRPr="00481FD6">
        <w:t xml:space="preserve">в следующей редакции:   </w:t>
      </w:r>
      <w:r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000CCA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9777E" w:rsidRPr="00481FD6" w:rsidTr="00B9777E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поощрение ветеранов и заслуженных работников угольной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поощрение ветеранов и заслуженных работников угольной промышленности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0920085999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6D6F3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BE0ABD">
        <w:trPr>
          <w:trHeight w:val="1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поставку оборудования для детской 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B9777E">
              <w:rPr>
                <w:sz w:val="20"/>
                <w:szCs w:val="20"/>
              </w:rPr>
              <w:t>на поставку оборудования для детской игровой площадки</w:t>
            </w:r>
          </w:p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BE0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водоснабжение Площади Торжеств в п. Синегорский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водоснабжение Площади Торжеств в п. Синегорский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работников культуры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C637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C6379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9777E" w:rsidP="00772A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72A4D">
              <w:rPr>
                <w:sz w:val="21"/>
                <w:szCs w:val="21"/>
              </w:rPr>
              <w:t>648,9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9777E" w:rsidP="00772A4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72A4D">
              <w:rPr>
                <w:sz w:val="21"/>
                <w:szCs w:val="21"/>
              </w:rPr>
              <w:t>648,9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5513E5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</w:p>
    <w:p w:rsidR="00481FD6" w:rsidRPr="00481FD6" w:rsidRDefault="005513E5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3A6EF4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326665" w:rsidRPr="00D633DA" w:rsidRDefault="00D633DA" w:rsidP="002E3606">
      <w:pPr>
        <w:rPr>
          <w:bCs/>
          <w:sz w:val="26"/>
          <w:szCs w:val="26"/>
        </w:rPr>
      </w:pPr>
      <w:r w:rsidRPr="00D633DA">
        <w:rPr>
          <w:bCs/>
          <w:sz w:val="26"/>
          <w:szCs w:val="26"/>
        </w:rPr>
        <w:t xml:space="preserve">   </w:t>
      </w:r>
      <w:r w:rsidR="00B651B6">
        <w:rPr>
          <w:bCs/>
          <w:sz w:val="26"/>
          <w:szCs w:val="26"/>
        </w:rPr>
        <w:t>сентября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B2440C" w:rsidRPr="00481FD6" w:rsidRDefault="00B2440C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A8" w:rsidRDefault="001519A8">
      <w:r>
        <w:separator/>
      </w:r>
    </w:p>
  </w:endnote>
  <w:endnote w:type="continuationSeparator" w:id="1">
    <w:p w:rsidR="001519A8" w:rsidRDefault="0015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A8" w:rsidRDefault="001519A8">
      <w:r>
        <w:separator/>
      </w:r>
    </w:p>
  </w:footnote>
  <w:footnote w:type="continuationSeparator" w:id="1">
    <w:p w:rsidR="001519A8" w:rsidRDefault="0015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7E" w:rsidRDefault="00B7743D" w:rsidP="00174C44">
    <w:pPr>
      <w:framePr w:wrap="around" w:vAnchor="text" w:hAnchor="margin" w:xAlign="center" w:y="1"/>
    </w:pPr>
    <w:r>
      <w:fldChar w:fldCharType="begin"/>
    </w:r>
    <w:r w:rsidR="00B9777E">
      <w:instrText xml:space="preserve">PAGE  </w:instrText>
    </w:r>
    <w:r>
      <w:fldChar w:fldCharType="end"/>
    </w:r>
  </w:p>
  <w:p w:rsidR="00B9777E" w:rsidRDefault="00B977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65A"/>
    <w:rsid w:val="000519CA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8002C3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702D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72D"/>
    <w:rsid w:val="00BA0F16"/>
    <w:rsid w:val="00BA0F7C"/>
    <w:rsid w:val="00BA1046"/>
    <w:rsid w:val="00BA19B4"/>
    <w:rsid w:val="00BA2DEC"/>
    <w:rsid w:val="00BA3968"/>
    <w:rsid w:val="00BA54F0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131E"/>
    <w:rsid w:val="00DE1B95"/>
    <w:rsid w:val="00DE3761"/>
    <w:rsid w:val="00DE378A"/>
    <w:rsid w:val="00DE4D8F"/>
    <w:rsid w:val="00DE5108"/>
    <w:rsid w:val="00DE54FB"/>
    <w:rsid w:val="00DE5C13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931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D76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b">
    <w:name w:val="Hyperlink"/>
    <w:uiPriority w:val="99"/>
    <w:unhideWhenUsed/>
    <w:rsid w:val="0047303B"/>
    <w:rPr>
      <w:color w:val="0000FF"/>
      <w:u w:val="single"/>
    </w:rPr>
  </w:style>
  <w:style w:type="paragraph" w:styleId="ac">
    <w:name w:val="Document Map"/>
    <w:basedOn w:val="a"/>
    <w:link w:val="ad"/>
    <w:rsid w:val="00155DA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155DA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30107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301075"/>
    <w:rPr>
      <w:sz w:val="28"/>
    </w:rPr>
  </w:style>
  <w:style w:type="paragraph" w:styleId="af0">
    <w:name w:val="No Spacing"/>
    <w:uiPriority w:val="1"/>
    <w:qFormat/>
    <w:rsid w:val="00F92EDB"/>
    <w:rPr>
      <w:sz w:val="24"/>
      <w:szCs w:val="24"/>
    </w:rPr>
  </w:style>
  <w:style w:type="paragraph" w:styleId="af1">
    <w:name w:val="List Paragraph"/>
    <w:basedOn w:val="a"/>
    <w:uiPriority w:val="34"/>
    <w:qFormat/>
    <w:rsid w:val="00CC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14449</Words>
  <Characters>82361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96617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50</cp:revision>
  <cp:lastPrinted>2023-03-15T16:34:00Z</cp:lastPrinted>
  <dcterms:created xsi:type="dcterms:W3CDTF">2024-03-11T06:28:00Z</dcterms:created>
  <dcterms:modified xsi:type="dcterms:W3CDTF">2024-09-06T07:16:00Z</dcterms:modified>
</cp:coreProperties>
</file>