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83" w:rsidRPr="00263283" w:rsidRDefault="00263283" w:rsidP="00263283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128905</wp:posOffset>
            </wp:positionV>
            <wp:extent cx="571500" cy="723900"/>
            <wp:effectExtent l="0" t="0" r="0" b="0"/>
            <wp:wrapSquare wrapText="right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63283" w:rsidRPr="00263283" w:rsidRDefault="00263283" w:rsidP="002632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283" w:rsidRPr="00263283" w:rsidRDefault="00263283" w:rsidP="0026328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«СИНЕГОРСКОЕ СЕЛЬСКОЕ ПОСЕЛЕНИЕ»</w:t>
      </w:r>
    </w:p>
    <w:p w:rsidR="00263283" w:rsidRPr="001474AB" w:rsidRDefault="00263283" w:rsidP="001474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74AB"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</w:p>
    <w:p w:rsidR="00263283" w:rsidRDefault="00263283" w:rsidP="00942F9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6E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34A" w:rsidRDefault="00A9734A" w:rsidP="002632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63283" w:rsidRPr="00263283" w:rsidRDefault="00263283" w:rsidP="002632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24698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1C6E79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A9734A">
        <w:rPr>
          <w:rFonts w:ascii="Times New Roman" w:hAnsi="Times New Roman" w:cs="Times New Roman"/>
          <w:b w:val="0"/>
          <w:sz w:val="28"/>
          <w:szCs w:val="28"/>
        </w:rPr>
        <w:t>22.</w:t>
      </w:r>
      <w:r w:rsidR="00942F94">
        <w:rPr>
          <w:rFonts w:ascii="Times New Roman" w:hAnsi="Times New Roman" w:cs="Times New Roman"/>
          <w:b w:val="0"/>
          <w:sz w:val="28"/>
          <w:szCs w:val="28"/>
        </w:rPr>
        <w:t>11</w:t>
      </w:r>
      <w:r w:rsidR="001474A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6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4698">
        <w:rPr>
          <w:rFonts w:ascii="Times New Roman" w:hAnsi="Times New Roman" w:cs="Times New Roman"/>
          <w:b w:val="0"/>
          <w:sz w:val="28"/>
          <w:szCs w:val="28"/>
        </w:rPr>
        <w:t xml:space="preserve">      № </w:t>
      </w:r>
      <w:r w:rsidR="00A9734A">
        <w:rPr>
          <w:rFonts w:ascii="Times New Roman" w:hAnsi="Times New Roman" w:cs="Times New Roman"/>
          <w:b w:val="0"/>
          <w:sz w:val="28"/>
          <w:szCs w:val="28"/>
        </w:rPr>
        <w:t>101</w:t>
      </w:r>
      <w:r w:rsidR="001C6E7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9343AD" w:rsidRDefault="009343AD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3283" w:rsidRPr="00263283" w:rsidRDefault="00263283" w:rsidP="0026328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283"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263283" w:rsidRPr="00A9734A" w:rsidRDefault="00263283" w:rsidP="00A9734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328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42F94" w:rsidRPr="00942F94" w:rsidRDefault="00942F94" w:rsidP="00942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28.12.2021</w:t>
      </w:r>
      <w:r w:rsidRPr="00942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942F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9734A" w:rsidRDefault="00A9734A" w:rsidP="002632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283" w:rsidRDefault="00942F94" w:rsidP="00263283">
      <w:pPr>
        <w:ind w:firstLine="708"/>
        <w:jc w:val="both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  <w:proofErr w:type="gramStart"/>
      <w:r w:rsidRPr="00942F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Областным законом от 03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  <w:r w:rsidR="0067612A">
        <w:rPr>
          <w:rFonts w:ascii="Times New Roman" w:hAnsi="Times New Roman" w:cs="Times New Roman"/>
          <w:sz w:val="28"/>
          <w:szCs w:val="28"/>
        </w:rPr>
        <w:t>,</w:t>
      </w:r>
      <w:r w:rsidR="00A54EF3">
        <w:rPr>
          <w:rFonts w:ascii="Times New Roman" w:hAnsi="Times New Roman" w:cs="Times New Roman"/>
          <w:sz w:val="28"/>
          <w:szCs w:val="28"/>
        </w:rPr>
        <w:t xml:space="preserve"> </w:t>
      </w:r>
      <w:r w:rsidR="00263283" w:rsidRPr="00263283">
        <w:rPr>
          <w:rFonts w:ascii="Times New Roman" w:hAnsi="Times New Roman" w:cs="Times New Roman"/>
          <w:sz w:val="28"/>
          <w:szCs w:val="28"/>
        </w:rPr>
        <w:t xml:space="preserve">Собрание депутатов Синегорского сельского поселения  </w:t>
      </w:r>
      <w:r w:rsidR="00263283" w:rsidRPr="00263283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решило:</w:t>
      </w:r>
      <w:proofErr w:type="gramEnd"/>
    </w:p>
    <w:p w:rsidR="00263283" w:rsidRDefault="00942F94" w:rsidP="001C6E7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4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Синегорского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28.12.2021</w:t>
      </w:r>
      <w:r w:rsidRPr="00942F94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942F9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42F9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работников, осуществляющих техническое обеспечение деятельности органов местного самоуправления  </w:t>
      </w:r>
      <w:r w:rsidRPr="00263283">
        <w:rPr>
          <w:rFonts w:ascii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2F94">
        <w:rPr>
          <w:rFonts w:ascii="Times New Roman" w:hAnsi="Times New Roman" w:cs="Times New Roman"/>
          <w:sz w:val="28"/>
          <w:szCs w:val="28"/>
        </w:rPr>
        <w:t>риложение в редакции согласно Приложению к настоящему решению.</w:t>
      </w:r>
    </w:p>
    <w:p w:rsidR="00263283" w:rsidRPr="00942F94" w:rsidRDefault="00942F94" w:rsidP="00942F94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с момента официального опубликования, но не ранее 01 января 2025 года.</w:t>
      </w:r>
    </w:p>
    <w:p w:rsidR="006A792A" w:rsidRPr="00263283" w:rsidRDefault="009343AD" w:rsidP="00A9734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2F94">
        <w:rPr>
          <w:rFonts w:ascii="Times New Roman" w:hAnsi="Times New Roman" w:cs="Times New Roman"/>
          <w:sz w:val="28"/>
          <w:szCs w:val="28"/>
        </w:rPr>
        <w:t xml:space="preserve">      3</w:t>
      </w:r>
      <w:r w:rsidR="00263283" w:rsidRPr="002632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283" w:rsidRPr="002632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283" w:rsidRPr="002632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Семиным А. В.</w:t>
      </w:r>
    </w:p>
    <w:p w:rsidR="00263283" w:rsidRPr="00263283" w:rsidRDefault="00263283" w:rsidP="00263283">
      <w:pPr>
        <w:pStyle w:val="a3"/>
        <w:ind w:firstLine="0"/>
      </w:pPr>
      <w:r w:rsidRPr="00263283">
        <w:t>Председатель Собрания депутатов-</w:t>
      </w:r>
    </w:p>
    <w:p w:rsidR="00263283" w:rsidRPr="00263283" w:rsidRDefault="00263283" w:rsidP="00263283">
      <w:pPr>
        <w:pStyle w:val="a3"/>
        <w:ind w:firstLine="0"/>
      </w:pPr>
      <w:r w:rsidRPr="00263283">
        <w:t>Глава Синегорского сельского поселения                                     Э.</w:t>
      </w:r>
      <w:r w:rsidR="003D4B74">
        <w:t xml:space="preserve"> </w:t>
      </w:r>
      <w:r w:rsidRPr="00263283">
        <w:t xml:space="preserve">Г. </w:t>
      </w:r>
      <w:r w:rsidR="003D4B74">
        <w:t xml:space="preserve"> </w:t>
      </w:r>
      <w:r w:rsidRPr="00263283">
        <w:t>Фатеева</w:t>
      </w:r>
    </w:p>
    <w:p w:rsidR="003D583A" w:rsidRDefault="003D583A">
      <w:pPr>
        <w:rPr>
          <w:rFonts w:ascii="Times New Roman" w:hAnsi="Times New Roman" w:cs="Times New Roman"/>
        </w:rPr>
      </w:pPr>
    </w:p>
    <w:p w:rsidR="00942F94" w:rsidRPr="00942F94" w:rsidRDefault="00942F94" w:rsidP="00942F94">
      <w:pPr>
        <w:pStyle w:val="a6"/>
        <w:spacing w:after="0"/>
        <w:ind w:left="3240"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42F94" w:rsidRPr="00942F94" w:rsidRDefault="00942F94" w:rsidP="00942F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  <w:t>к решению Собрания депутатов</w:t>
      </w:r>
    </w:p>
    <w:p w:rsidR="00942F94" w:rsidRPr="00942F94" w:rsidRDefault="00942F94" w:rsidP="00942F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42F94" w:rsidRPr="00942F94" w:rsidRDefault="00A9734A" w:rsidP="00942F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 22.11.</w:t>
      </w:r>
      <w:bookmarkStart w:id="0" w:name="_GoBack"/>
      <w:bookmarkEnd w:id="0"/>
      <w:r w:rsidR="00942F94" w:rsidRPr="00942F94">
        <w:rPr>
          <w:rFonts w:ascii="Times New Roman" w:eastAsia="Times New Roman" w:hAnsi="Times New Roman" w:cs="Times New Roman"/>
          <w:sz w:val="28"/>
          <w:szCs w:val="28"/>
        </w:rPr>
        <w:t xml:space="preserve">2024 года № </w:t>
      </w:r>
      <w:r>
        <w:rPr>
          <w:rFonts w:ascii="Times New Roman" w:eastAsia="Times New Roman" w:hAnsi="Times New Roman" w:cs="Times New Roman"/>
          <w:sz w:val="28"/>
          <w:szCs w:val="28"/>
        </w:rPr>
        <w:t>101</w:t>
      </w:r>
    </w:p>
    <w:p w:rsidR="00942F94" w:rsidRPr="00942F94" w:rsidRDefault="00942F94" w:rsidP="00942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  <w:r w:rsidRPr="00942F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2F94" w:rsidRPr="00942F94" w:rsidRDefault="00942F94" w:rsidP="0094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942F94" w:rsidRPr="00942F94" w:rsidRDefault="00942F94" w:rsidP="0094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об оплате труда работников, осуществляющих техническое обеспечение деятельности органов местного самоуправления</w:t>
      </w:r>
    </w:p>
    <w:p w:rsidR="00942F94" w:rsidRPr="00942F94" w:rsidRDefault="00942F94" w:rsidP="0094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42F94" w:rsidRPr="00942F94" w:rsidRDefault="00942F94" w:rsidP="00942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об оплате труда работников, осуществляющих техническое обеспечение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Положение) устанавливает систему оплаты труда работников, осуществляющих техническое обеспечение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технический персонал)</w:t>
      </w:r>
      <w:r w:rsidRPr="00942F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2. Система оплаты труда технического персонала включает в себя: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1) должностные оклады;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2) выплаты компенсационного характера;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3) выплаты стимулирующего характера.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Размеры должностных окладов технического персонала: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09"/>
        <w:gridCol w:w="5681"/>
        <w:gridCol w:w="3235"/>
      </w:tblGrid>
      <w:tr w:rsidR="00942F94" w:rsidRPr="00942F94" w:rsidTr="006335BF">
        <w:tc>
          <w:tcPr>
            <w:tcW w:w="320" w:type="pct"/>
            <w:vAlign w:val="center"/>
          </w:tcPr>
          <w:p w:rsidR="00942F94" w:rsidRPr="00942F94" w:rsidRDefault="00942F94" w:rsidP="0094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п\</w:t>
            </w:r>
            <w:proofErr w:type="gramStart"/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2" w:type="pct"/>
            <w:vAlign w:val="center"/>
          </w:tcPr>
          <w:p w:rsidR="00942F94" w:rsidRPr="00942F94" w:rsidRDefault="00942F94" w:rsidP="00942F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8" w:type="pct"/>
            <w:vAlign w:val="center"/>
          </w:tcPr>
          <w:p w:rsidR="00942F94" w:rsidRPr="00942F94" w:rsidRDefault="00942F94" w:rsidP="0094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(рублей в месяц)</w:t>
            </w:r>
          </w:p>
        </w:tc>
      </w:tr>
      <w:tr w:rsidR="00942F94" w:rsidRPr="00942F94" w:rsidTr="006335BF">
        <w:tc>
          <w:tcPr>
            <w:tcW w:w="320" w:type="pct"/>
            <w:vAlign w:val="center"/>
          </w:tcPr>
          <w:p w:rsidR="00942F94" w:rsidRPr="00942F94" w:rsidRDefault="00942F94" w:rsidP="00942F94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2" w:type="pct"/>
            <w:vAlign w:val="center"/>
          </w:tcPr>
          <w:p w:rsidR="00942F94" w:rsidRPr="00942F94" w:rsidRDefault="00942F94" w:rsidP="00942F94">
            <w:pPr>
              <w:snapToGrid w:val="0"/>
              <w:spacing w:after="0" w:line="20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1698" w:type="pct"/>
            <w:vAlign w:val="center"/>
          </w:tcPr>
          <w:p w:rsidR="00942F94" w:rsidRPr="00942F94" w:rsidRDefault="00942F94" w:rsidP="00942F94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F94" w:rsidRPr="00942F94" w:rsidRDefault="00942F94" w:rsidP="00942F94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9899</w:t>
            </w:r>
          </w:p>
        </w:tc>
      </w:tr>
      <w:tr w:rsidR="00942F94" w:rsidRPr="00942F94" w:rsidTr="006335BF">
        <w:tc>
          <w:tcPr>
            <w:tcW w:w="320" w:type="pct"/>
            <w:vAlign w:val="center"/>
          </w:tcPr>
          <w:p w:rsidR="00942F94" w:rsidRPr="00942F94" w:rsidRDefault="00942F94" w:rsidP="00942F94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2" w:type="pct"/>
            <w:vAlign w:val="center"/>
          </w:tcPr>
          <w:p w:rsidR="00942F94" w:rsidRPr="00942F94" w:rsidRDefault="00942F94" w:rsidP="00942F94">
            <w:pPr>
              <w:snapToGrid w:val="0"/>
              <w:spacing w:after="0" w:line="20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698" w:type="pct"/>
            <w:vAlign w:val="center"/>
          </w:tcPr>
          <w:p w:rsidR="00942F94" w:rsidRPr="00942F94" w:rsidRDefault="00942F94" w:rsidP="00942F94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2F94" w:rsidRPr="00942F94" w:rsidRDefault="00942F94" w:rsidP="00942F94">
            <w:pPr>
              <w:snapToGrid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Times New Roman" w:hAnsi="Times New Roman" w:cs="Times New Roman"/>
                <w:sz w:val="28"/>
                <w:szCs w:val="28"/>
              </w:rPr>
              <w:t>7905</w:t>
            </w:r>
          </w:p>
        </w:tc>
      </w:tr>
    </w:tbl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F94">
        <w:rPr>
          <w:rFonts w:ascii="Times New Roman" w:eastAsia="Arial" w:hAnsi="Times New Roman" w:cs="Times New Roman"/>
          <w:sz w:val="28"/>
          <w:szCs w:val="28"/>
        </w:rPr>
        <w:t>4. Компенсационные выплаты техническому персоналу.</w:t>
      </w: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gramStart"/>
      <w:r w:rsidRPr="00942F94">
        <w:rPr>
          <w:rFonts w:ascii="Times New Roman" w:eastAsia="Arial" w:hAnsi="Times New Roman" w:cs="Times New Roman"/>
          <w:sz w:val="28"/>
          <w:szCs w:val="28"/>
        </w:rPr>
        <w:t xml:space="preserve">Отдельным категориям работников из числа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 персонала ежемесячно выплачивается к должностному окладу доплата</w:t>
      </w: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  <w:proofErr w:type="gramEnd"/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2F94">
        <w:rPr>
          <w:rFonts w:ascii="Times New Roman" w:eastAsia="Times New Roman" w:hAnsi="Times New Roman" w:cs="Times New Roman"/>
          <w:bCs/>
          <w:sz w:val="28"/>
          <w:szCs w:val="28"/>
        </w:rPr>
        <w:t>Стимулирующие выплаты техническому персоналу:</w:t>
      </w: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1) е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жемесячная надбавка за интенсивность и высокие результаты </w:t>
      </w:r>
      <w:r w:rsidRPr="00942F94">
        <w:rPr>
          <w:rFonts w:ascii="Times New Roman" w:eastAsia="Arial" w:hAnsi="Times New Roman" w:cs="Times New Roman"/>
          <w:iCs/>
          <w:sz w:val="28"/>
          <w:szCs w:val="28"/>
        </w:rPr>
        <w:t xml:space="preserve">работы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техническому персоналу </w:t>
      </w:r>
      <w:r w:rsidRPr="00942F94">
        <w:rPr>
          <w:rFonts w:ascii="Times New Roman" w:eastAsia="Arial" w:hAnsi="Times New Roman" w:cs="Times New Roman"/>
          <w:sz w:val="28"/>
          <w:szCs w:val="28"/>
        </w:rPr>
        <w:t>к должностному окладу в следующих размерах:</w:t>
      </w:r>
    </w:p>
    <w:p w:rsidR="00942F94" w:rsidRPr="00942F94" w:rsidRDefault="00942F94" w:rsidP="00942F9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инспектору - до 200 процентов должностного оклада;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старшему инспектору </w:t>
      </w:r>
      <w:r w:rsidRPr="00942F94">
        <w:rPr>
          <w:rFonts w:ascii="Times New Roman" w:eastAsia="Times New Roman" w:hAnsi="Times New Roman" w:cs="Times New Roman"/>
          <w:iCs/>
          <w:sz w:val="28"/>
          <w:szCs w:val="28"/>
        </w:rPr>
        <w:t>– до 250 процентов должностного оклада;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другим категориям работников из числа технического персонала – от 100 до 150 процентов должностного оклада</w:t>
      </w:r>
      <w:r w:rsidRPr="00942F94">
        <w:rPr>
          <w:rFonts w:ascii="Times New Roman" w:eastAsia="Arial" w:hAnsi="Times New Roman" w:cs="Times New Roman"/>
          <w:iCs/>
          <w:sz w:val="28"/>
          <w:szCs w:val="28"/>
        </w:rPr>
        <w:t>.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lastRenderedPageBreak/>
        <w:t>Ежемесячная надбавка к должностному окладу технического персонала за интенсивность и высокие результаты работы выплачивается за фактически отработанное время.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Условия и порядок выплаты ежемесячной надбавки к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окладу технического персонала </w:t>
      </w:r>
      <w:r w:rsidRPr="00942F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интенсивность и высокие результаты работы определяются нормативными правовыми актами 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соответствующих органов местного самоуправления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поселения;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>2)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7"/>
        <w:gridCol w:w="4634"/>
      </w:tblGrid>
      <w:tr w:rsidR="00942F94" w:rsidRPr="00942F94" w:rsidTr="009E1B39">
        <w:trPr>
          <w:tblHeader/>
        </w:trPr>
        <w:tc>
          <w:tcPr>
            <w:tcW w:w="4777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при стаже работы:</w:t>
            </w:r>
          </w:p>
        </w:tc>
        <w:tc>
          <w:tcPr>
            <w:tcW w:w="4634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в процентах </w:t>
            </w:r>
          </w:p>
        </w:tc>
      </w:tr>
      <w:tr w:rsidR="00942F94" w:rsidRPr="00942F94" w:rsidTr="009E1B39">
        <w:tc>
          <w:tcPr>
            <w:tcW w:w="4777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Courier New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634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Courier New" w:hAnsi="Times New Roman" w:cs="Times New Roman"/>
                <w:sz w:val="28"/>
                <w:szCs w:val="28"/>
              </w:rPr>
              <w:t>10</w:t>
            </w:r>
          </w:p>
        </w:tc>
      </w:tr>
      <w:tr w:rsidR="00942F94" w:rsidRPr="00942F94" w:rsidTr="009E1B39">
        <w:tc>
          <w:tcPr>
            <w:tcW w:w="4777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Courier New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634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Lucida Sans Unicode" w:hAnsi="Times New Roman" w:cs="Times New Roman"/>
                <w:sz w:val="28"/>
                <w:szCs w:val="28"/>
              </w:rPr>
              <w:t>15</w:t>
            </w:r>
          </w:p>
        </w:tc>
      </w:tr>
      <w:tr w:rsidR="00942F94" w:rsidRPr="00942F94" w:rsidTr="009E1B39">
        <w:tc>
          <w:tcPr>
            <w:tcW w:w="4777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Courier New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634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Lucida Sans Unicode" w:hAnsi="Times New Roman" w:cs="Times New Roman"/>
                <w:sz w:val="28"/>
                <w:szCs w:val="28"/>
              </w:rPr>
              <w:t>20</w:t>
            </w:r>
          </w:p>
        </w:tc>
      </w:tr>
      <w:tr w:rsidR="00942F94" w:rsidRPr="00942F94" w:rsidTr="009E1B39">
        <w:tc>
          <w:tcPr>
            <w:tcW w:w="4777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Courier New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634" w:type="dxa"/>
          </w:tcPr>
          <w:p w:rsidR="00942F94" w:rsidRPr="00942F94" w:rsidRDefault="00942F94" w:rsidP="00942F94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42F94">
              <w:rPr>
                <w:rFonts w:ascii="Times New Roman" w:eastAsia="Lucida Sans Unicode" w:hAnsi="Times New Roman" w:cs="Times New Roman"/>
                <w:sz w:val="28"/>
                <w:szCs w:val="28"/>
              </w:rPr>
              <w:t>30</w:t>
            </w:r>
          </w:p>
        </w:tc>
      </w:tr>
    </w:tbl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>В стаж работы</w:t>
      </w:r>
      <w:r w:rsidRPr="00942F94">
        <w:rPr>
          <w:rFonts w:ascii="Times New Roman" w:eastAsia="Arial" w:hAnsi="Times New Roman" w:cs="Times New Roman"/>
          <w:iCs/>
          <w:kern w:val="1"/>
          <w:sz w:val="28"/>
          <w:szCs w:val="28"/>
        </w:rPr>
        <w:t xml:space="preserve">, дающий право на получение ежемесячной надбавки к должностному окладу за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Pr="00942F94">
        <w:rPr>
          <w:rFonts w:ascii="Times New Roman" w:eastAsia="Arial" w:hAnsi="Times New Roman" w:cs="Times New Roman"/>
          <w:iCs/>
          <w:kern w:val="1"/>
          <w:sz w:val="28"/>
          <w:szCs w:val="28"/>
        </w:rPr>
        <w:t xml:space="preserve"> лет, включаются периоды работы, которые в соответствии с нормативными правовыми</w:t>
      </w:r>
      <w:r w:rsidRPr="00942F94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 xml:space="preserve"> актами Российской Федерации, включаются в стаж работы для выплаты работникам федеральных государственных органов, замещающих должности, не являющиеся должностями федеральной государственной службы, ежемесячной надбавки за выслугу лет;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942F9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 xml:space="preserve">техническому персоналу выплачивается премия по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942F9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 xml:space="preserve"> работы за месяц в следующих размерах: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F94">
        <w:rPr>
          <w:rFonts w:ascii="Times New Roman" w:eastAsia="Arial" w:hAnsi="Times New Roman" w:cs="Times New Roman"/>
          <w:sz w:val="28"/>
          <w:szCs w:val="28"/>
        </w:rPr>
        <w:t xml:space="preserve">руководителям, старшим инспекторам, инспекторам </w:t>
      </w:r>
      <w:r w:rsidRPr="00942F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–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 до 50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 должностного оклада;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</w:pP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другим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>категориям</w:t>
      </w: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 работников </w:t>
      </w:r>
      <w:r w:rsidRPr="00942F94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>–</w:t>
      </w: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 до 25 процентов должностного оклада.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В пределах утвержденного фонда оплаты труда п</w:t>
      </w: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соответствующих органов местного самоуправления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 сельского поселения.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</w:pP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>Техническому персоналу в</w:t>
      </w:r>
      <w:r w:rsidRPr="00942F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 xml:space="preserve"> пределах утвержденного фонда оплаты труда</w:t>
      </w: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 может быть выплачена премия в размере двух должностных окладов по результатам работы за год.</w:t>
      </w:r>
    </w:p>
    <w:p w:rsidR="00942F94" w:rsidRPr="00942F94" w:rsidRDefault="00942F94" w:rsidP="00942F9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 xml:space="preserve">Условия и порядок премирования </w:t>
      </w:r>
      <w:r w:rsidRPr="00942F94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технического персонала </w:t>
      </w:r>
      <w:r w:rsidRPr="00942F94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>определяются нормативными правовыми актами соответствующих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 органов местного самоуправления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iCs/>
          <w:color w:val="000000"/>
          <w:kern w:val="1"/>
          <w:sz w:val="28"/>
          <w:szCs w:val="28"/>
        </w:rPr>
        <w:t xml:space="preserve"> сельского поселения;</w:t>
      </w:r>
    </w:p>
    <w:p w:rsidR="00942F94" w:rsidRPr="00942F94" w:rsidRDefault="00942F94" w:rsidP="00942F94">
      <w:pPr>
        <w:spacing w:after="12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6. Работникам из числа технического персонала выплачивается материальная помощь. </w:t>
      </w:r>
      <w:r w:rsidRPr="00942F9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Размер, условия и порядок выплаты материальной помощи </w:t>
      </w:r>
      <w:r w:rsidRPr="0094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нормативными правовыми актами соответствующих органов местного самоуправления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Увеличение (индексация) должностных окладов технического персонала. </w:t>
      </w: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1) Должностные оклады технического персонала ежегодно увеличиваются (индексируются) </w:t>
      </w:r>
      <w:r w:rsidRPr="00942F94">
        <w:rPr>
          <w:rFonts w:ascii="Times New Roman" w:eastAsia="Arial" w:hAnsi="Times New Roman" w:cs="Times New Roman"/>
          <w:sz w:val="28"/>
          <w:szCs w:val="28"/>
        </w:rPr>
        <w:t xml:space="preserve">соответствующим органом местного самоуправления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размерах и в сроки, предусмотренные для работников муниципальных учреждений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поселения.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Увеличение (индексация) размеров должностных окладов технического персонала производится 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поселения при внесении соответствующих изменений в решение Собрания депутатов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бюджете поселения на соответствующий период.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При увеличении (индексации) должностных окладов технического персонала их размеры подлежат округлению до целого рубля в сторону увеличения.</w:t>
      </w: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942F94">
        <w:rPr>
          <w:rFonts w:ascii="Times New Roman" w:eastAsia="Arial" w:hAnsi="Times New Roman" w:cs="Times New Roman"/>
          <w:sz w:val="28"/>
          <w:szCs w:val="28"/>
        </w:rPr>
        <w:t>8.</w:t>
      </w:r>
      <w:r w:rsidRPr="00942F94">
        <w:rPr>
          <w:rFonts w:ascii="Times New Roman" w:eastAsia="Arial" w:hAnsi="Times New Roman" w:cs="Times New Roman"/>
          <w:bCs/>
          <w:sz w:val="28"/>
          <w:szCs w:val="28"/>
        </w:rPr>
        <w:t xml:space="preserve"> Финансирование расходов на оплату труда технического персонала.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1) Финансирование расходов на оплату труда технического персонала осуществляется за счет средств бюджета </w:t>
      </w:r>
      <w:r w:rsidR="009E1B39">
        <w:rPr>
          <w:rFonts w:ascii="Times New Roman" w:eastAsia="Times New Roman" w:hAnsi="Times New Roman" w:cs="Times New Roman"/>
          <w:kern w:val="1"/>
          <w:sz w:val="28"/>
          <w:szCs w:val="28"/>
        </w:rPr>
        <w:t>Синегорского сельского поселения</w:t>
      </w: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2)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</w:rPr>
      </w:pPr>
      <w:proofErr w:type="gramStart"/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ежемесячной надбавки к должностному окладу за интенсивность и высокие результаты работы – в размере 18 должностных окладов, для работников, указанных в абзаце 2 подпункта 1 пункта 5 настоящего Положения</w:t>
      </w:r>
      <w:r w:rsidR="009E1B3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- в размере 26,4 должностных окладов, для работников, указанных в абзаце 3 подпункта 1 пункта 5 настоящего Положения - в размере 24 должностных окладов, для работников, указанных в абзаце 4 подпункта 1 пункта 5</w:t>
      </w:r>
      <w:proofErr w:type="gramEnd"/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настоящего Положения, - в размере 30 должностных окладов;</w:t>
      </w:r>
      <w:r w:rsidRPr="00942F94">
        <w:rPr>
          <w:rFonts w:ascii="Times New Roman" w:eastAsia="Times New Roman" w:hAnsi="Times New Roman" w:cs="Times New Roman"/>
          <w:color w:val="FF0000"/>
          <w:kern w:val="1"/>
          <w:sz w:val="28"/>
          <w:szCs w:val="28"/>
        </w:rPr>
        <w:t xml:space="preserve"> 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ежемесячной надбавки к должностному окладу за выслугу лет – в размере 3 должностных окладов;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премии по результатам работы за месяц - в размере 3 должностных окладов, для работников, указанных в абзаце 2 подпункта 3 пункта 5 настоящего Положени</w:t>
      </w:r>
      <w:proofErr w:type="gramStart"/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я-</w:t>
      </w:r>
      <w:proofErr w:type="gramEnd"/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 размере 6 должностных окладов;</w:t>
      </w:r>
    </w:p>
    <w:p w:rsidR="00942F94" w:rsidRPr="00942F94" w:rsidRDefault="00942F94" w:rsidP="00942F94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kern w:val="1"/>
          <w:sz w:val="28"/>
          <w:szCs w:val="28"/>
        </w:rPr>
        <w:t>материальной помощи  – в размере 2 должностных окладов.</w:t>
      </w: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4" w:rsidRPr="00942F94" w:rsidRDefault="00942F94" w:rsidP="00942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F94" w:rsidRPr="00942F94" w:rsidRDefault="00942F94" w:rsidP="00942F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Председатель Собрания депутатов-</w:t>
      </w:r>
    </w:p>
    <w:p w:rsidR="00942F94" w:rsidRPr="00942F94" w:rsidRDefault="00942F94" w:rsidP="00942F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942F9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глава </w:t>
      </w:r>
      <w:r w:rsidR="009E1B39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942F9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сельского поселения                              </w:t>
      </w:r>
      <w:proofErr w:type="spellStart"/>
      <w:r w:rsidR="009E1B39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Э.Г.Фатеева</w:t>
      </w:r>
      <w:proofErr w:type="spellEnd"/>
    </w:p>
    <w:p w:rsidR="00942F94" w:rsidRPr="00263283" w:rsidRDefault="00942F94">
      <w:pPr>
        <w:rPr>
          <w:rFonts w:ascii="Times New Roman" w:hAnsi="Times New Roman" w:cs="Times New Roman"/>
        </w:rPr>
      </w:pPr>
    </w:p>
    <w:p w:rsidR="001474AB" w:rsidRPr="00263283" w:rsidRDefault="001474AB">
      <w:pPr>
        <w:rPr>
          <w:rFonts w:ascii="Times New Roman" w:hAnsi="Times New Roman" w:cs="Times New Roman"/>
        </w:rPr>
      </w:pPr>
    </w:p>
    <w:sectPr w:rsidR="001474AB" w:rsidRPr="00263283" w:rsidSect="00A9734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9FC"/>
    <w:multiLevelType w:val="hybridMultilevel"/>
    <w:tmpl w:val="941C9866"/>
    <w:lvl w:ilvl="0" w:tplc="462C9D92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C4845E6"/>
    <w:multiLevelType w:val="hybridMultilevel"/>
    <w:tmpl w:val="DE40DBAA"/>
    <w:lvl w:ilvl="0" w:tplc="60F88ED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8896F5F"/>
    <w:multiLevelType w:val="hybridMultilevel"/>
    <w:tmpl w:val="9024277E"/>
    <w:lvl w:ilvl="0" w:tplc="A1BC3E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3283"/>
    <w:rsid w:val="001474AB"/>
    <w:rsid w:val="001C6E79"/>
    <w:rsid w:val="00263283"/>
    <w:rsid w:val="00360EE9"/>
    <w:rsid w:val="003D4B74"/>
    <w:rsid w:val="003D583A"/>
    <w:rsid w:val="00421075"/>
    <w:rsid w:val="00524698"/>
    <w:rsid w:val="005A6925"/>
    <w:rsid w:val="0067612A"/>
    <w:rsid w:val="006A792A"/>
    <w:rsid w:val="007C39E6"/>
    <w:rsid w:val="009343AD"/>
    <w:rsid w:val="00942F94"/>
    <w:rsid w:val="009C5543"/>
    <w:rsid w:val="009E1B39"/>
    <w:rsid w:val="00A2731A"/>
    <w:rsid w:val="00A54EF3"/>
    <w:rsid w:val="00A9734A"/>
    <w:rsid w:val="00B71D4D"/>
    <w:rsid w:val="00BA0DF9"/>
    <w:rsid w:val="00BC78F2"/>
    <w:rsid w:val="00C66B39"/>
    <w:rsid w:val="00D861CB"/>
    <w:rsid w:val="00EE2B00"/>
    <w:rsid w:val="00F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63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Обычный текст"/>
    <w:basedOn w:val="a"/>
    <w:rsid w:val="002632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32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7612A"/>
    <w:pPr>
      <w:ind w:left="720"/>
      <w:contextualSpacing/>
    </w:pPr>
  </w:style>
  <w:style w:type="paragraph" w:styleId="a6">
    <w:name w:val="List"/>
    <w:basedOn w:val="a"/>
    <w:uiPriority w:val="99"/>
    <w:semiHidden/>
    <w:unhideWhenUsed/>
    <w:rsid w:val="00942F94"/>
    <w:pPr>
      <w:ind w:left="283" w:hanging="283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FE80-8006-445D-B53B-CDBE76E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14</cp:revision>
  <cp:lastPrinted>2024-11-25T07:01:00Z</cp:lastPrinted>
  <dcterms:created xsi:type="dcterms:W3CDTF">2024-08-06T07:02:00Z</dcterms:created>
  <dcterms:modified xsi:type="dcterms:W3CDTF">2024-11-25T07:02:00Z</dcterms:modified>
</cp:coreProperties>
</file>