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0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01075" w:rsidP="00301075">
      <w:pPr>
        <w:jc w:val="center"/>
      </w:pP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263684" w:rsidP="00301075">
      <w:pPr>
        <w:jc w:val="center"/>
      </w:pPr>
      <w:r>
        <w:t>21.</w:t>
      </w:r>
      <w:r w:rsidR="00342DC9" w:rsidRPr="00481FD6">
        <w:t>03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="00342DC9" w:rsidRPr="00481FD6">
        <w:t xml:space="preserve"> </w:t>
      </w:r>
      <w:r>
        <w:t>83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CC6BC7" w:rsidRPr="00CC6BC7" w:rsidRDefault="009F17DF" w:rsidP="009F17DF">
            <w:pPr>
              <w:pStyle w:val="af1"/>
              <w:numPr>
                <w:ilvl w:val="0"/>
                <w:numId w:val="3"/>
              </w:numPr>
              <w:ind w:left="34"/>
              <w:jc w:val="both"/>
              <w:rPr>
                <w:sz w:val="26"/>
                <w:szCs w:val="26"/>
              </w:rPr>
            </w:pPr>
            <w:r w:rsidRPr="009F17DF">
              <w:rPr>
                <w:b/>
                <w:sz w:val="26"/>
                <w:szCs w:val="26"/>
              </w:rPr>
              <w:t xml:space="preserve">     1)</w:t>
            </w:r>
            <w:r w:rsidRPr="009F17DF">
              <w:rPr>
                <w:sz w:val="26"/>
                <w:szCs w:val="26"/>
              </w:rPr>
              <w:t xml:space="preserve"> </w:t>
            </w:r>
            <w:r w:rsidR="00F40318">
              <w:rPr>
                <w:sz w:val="26"/>
                <w:szCs w:val="26"/>
              </w:rPr>
              <w:t>д</w:t>
            </w:r>
            <w:r w:rsidR="00CC6BC7" w:rsidRPr="00CC6BC7">
              <w:rPr>
                <w:sz w:val="26"/>
                <w:szCs w:val="26"/>
              </w:rPr>
              <w:t>ополнить реш</w:t>
            </w:r>
            <w:r w:rsidR="00CC6BC7">
              <w:rPr>
                <w:sz w:val="26"/>
                <w:szCs w:val="26"/>
              </w:rPr>
              <w:t xml:space="preserve">ение </w:t>
            </w:r>
            <w:r w:rsidR="00B513D3" w:rsidRPr="00481FD6">
              <w:rPr>
                <w:snapToGrid w:val="0"/>
                <w:sz w:val="26"/>
                <w:szCs w:val="26"/>
              </w:rPr>
              <w:t xml:space="preserve">Собрания </w:t>
            </w:r>
            <w:r w:rsidR="00B513D3"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B513D3">
              <w:rPr>
                <w:sz w:val="26"/>
                <w:szCs w:val="26"/>
              </w:rPr>
              <w:t>3 года № 80</w:t>
            </w:r>
            <w:r w:rsidR="00B513D3"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B513D3">
              <w:rPr>
                <w:sz w:val="26"/>
                <w:szCs w:val="26"/>
              </w:rPr>
              <w:t>4</w:t>
            </w:r>
            <w:r w:rsidR="00B513D3"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B513D3">
              <w:rPr>
                <w:sz w:val="26"/>
                <w:szCs w:val="26"/>
              </w:rPr>
              <w:t>5</w:t>
            </w:r>
            <w:r w:rsidR="00B513D3" w:rsidRPr="00481FD6">
              <w:rPr>
                <w:sz w:val="26"/>
                <w:szCs w:val="26"/>
              </w:rPr>
              <w:t xml:space="preserve"> и 202</w:t>
            </w:r>
            <w:r w:rsidR="00B513D3">
              <w:rPr>
                <w:sz w:val="26"/>
                <w:szCs w:val="26"/>
              </w:rPr>
              <w:t>6</w:t>
            </w:r>
            <w:r w:rsidR="00B513D3" w:rsidRPr="00481FD6">
              <w:rPr>
                <w:sz w:val="26"/>
                <w:szCs w:val="26"/>
              </w:rPr>
              <w:t xml:space="preserve"> годов»  </w:t>
            </w:r>
            <w:r w:rsidR="00B513D3">
              <w:rPr>
                <w:sz w:val="26"/>
                <w:szCs w:val="26"/>
              </w:rPr>
              <w:t>п</w:t>
            </w:r>
            <w:r w:rsidR="00CC6BC7" w:rsidRPr="00CC6BC7">
              <w:rPr>
                <w:sz w:val="26"/>
                <w:szCs w:val="26"/>
              </w:rPr>
              <w:t>реамбулой:</w:t>
            </w:r>
          </w:p>
          <w:p w:rsidR="00CC6BC7" w:rsidRDefault="00B513D3" w:rsidP="00B513D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C6BC7">
              <w:rPr>
                <w:sz w:val="26"/>
                <w:szCs w:val="26"/>
              </w:rPr>
              <w:t>«</w:t>
            </w:r>
            <w:r w:rsidR="00CC6BC7"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 Областным законом от 1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>.12.202</w:t>
            </w:r>
            <w:r w:rsidR="00CC6BC7">
              <w:rPr>
                <w:sz w:val="26"/>
                <w:szCs w:val="26"/>
              </w:rPr>
              <w:t>3 № 58</w:t>
            </w:r>
            <w:r w:rsidR="00CC6BC7" w:rsidRPr="00481FD6">
              <w:rPr>
                <w:sz w:val="26"/>
                <w:szCs w:val="26"/>
              </w:rPr>
              <w:t>-ЗС «Об областном бюджете на 202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 xml:space="preserve"> год и на плановый период 202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и 202</w:t>
            </w:r>
            <w:r w:rsidR="00CC6BC7">
              <w:rPr>
                <w:sz w:val="26"/>
                <w:szCs w:val="26"/>
              </w:rPr>
              <w:t>6</w:t>
            </w:r>
            <w:r w:rsidR="00CC6BC7" w:rsidRPr="00481FD6">
              <w:rPr>
                <w:sz w:val="26"/>
                <w:szCs w:val="26"/>
              </w:rPr>
              <w:t xml:space="preserve"> годов», решением Собрания депутатов Белокалитвинского района от 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декабря 202</w:t>
            </w:r>
            <w:r w:rsidR="00CC6BC7">
              <w:rPr>
                <w:sz w:val="26"/>
                <w:szCs w:val="26"/>
              </w:rPr>
              <w:t>3 года № 133</w:t>
            </w:r>
            <w:r w:rsidR="00CC6BC7" w:rsidRPr="00481FD6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 xml:space="preserve"> год и на плановый период 202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и 202</w:t>
            </w:r>
            <w:r w:rsidR="00CC6BC7">
              <w:rPr>
                <w:sz w:val="26"/>
                <w:szCs w:val="26"/>
              </w:rPr>
              <w:t>6</w:t>
            </w:r>
            <w:r w:rsidR="00CC6BC7" w:rsidRPr="00481FD6">
              <w:rPr>
                <w:sz w:val="26"/>
                <w:szCs w:val="26"/>
              </w:rPr>
              <w:t xml:space="preserve"> годов</w:t>
            </w:r>
            <w:r w:rsidR="00CC6BC7" w:rsidRPr="00481FD6">
              <w:rPr>
                <w:b/>
                <w:sz w:val="26"/>
                <w:szCs w:val="26"/>
              </w:rPr>
              <w:t xml:space="preserve">», </w:t>
            </w:r>
            <w:r w:rsidR="00CC6BC7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CC6BC7" w:rsidRPr="00481FD6">
              <w:rPr>
                <w:b/>
                <w:spacing w:val="60"/>
                <w:sz w:val="26"/>
                <w:szCs w:val="26"/>
              </w:rPr>
              <w:t>решил</w:t>
            </w:r>
            <w:r w:rsidR="00CC6BC7">
              <w:rPr>
                <w:b/>
                <w:spacing w:val="60"/>
                <w:sz w:val="26"/>
                <w:szCs w:val="26"/>
              </w:rPr>
              <w:t>о:</w:t>
            </w:r>
            <w:r w:rsidR="00CC6BC7" w:rsidRPr="009F17DF">
              <w:rPr>
                <w:spacing w:val="60"/>
                <w:sz w:val="26"/>
                <w:szCs w:val="26"/>
              </w:rPr>
              <w:t>»;</w:t>
            </w:r>
          </w:p>
          <w:p w:rsidR="00CC6BC7" w:rsidRDefault="00CC6BC7" w:rsidP="00CC6BC7">
            <w:pPr>
              <w:pStyle w:val="af1"/>
              <w:ind w:left="900"/>
              <w:jc w:val="both"/>
              <w:rPr>
                <w:sz w:val="26"/>
                <w:szCs w:val="26"/>
              </w:rPr>
            </w:pPr>
          </w:p>
          <w:p w:rsidR="00342DC9" w:rsidRPr="00CC6BC7" w:rsidRDefault="00342DC9" w:rsidP="00CC6BC7">
            <w:pPr>
              <w:pStyle w:val="af1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CC6BC7">
              <w:rPr>
                <w:sz w:val="26"/>
                <w:szCs w:val="26"/>
              </w:rPr>
              <w:t xml:space="preserve">пункты 2,5  части 1 изложить в следующей редакции: </w:t>
            </w:r>
          </w:p>
          <w:p w:rsidR="00342DC9" w:rsidRPr="00481FD6" w:rsidRDefault="00342DC9" w:rsidP="00342DC9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>«</w:t>
            </w:r>
            <w:r w:rsidRPr="00481FD6">
              <w:rPr>
                <w:bCs/>
                <w:sz w:val="26"/>
                <w:szCs w:val="26"/>
              </w:rPr>
              <w:t>2) общий объем расходов местного бюджета</w:t>
            </w:r>
            <w:r w:rsidRPr="00481FD6">
              <w:rPr>
                <w:sz w:val="26"/>
                <w:szCs w:val="26"/>
              </w:rPr>
              <w:t xml:space="preserve"> </w:t>
            </w:r>
            <w:r w:rsidRPr="00481FD6">
              <w:rPr>
                <w:bCs/>
                <w:sz w:val="26"/>
                <w:szCs w:val="26"/>
              </w:rPr>
              <w:t xml:space="preserve">в сумме </w:t>
            </w:r>
            <w:r w:rsidR="00B01A33">
              <w:rPr>
                <w:bCs/>
                <w:sz w:val="26"/>
                <w:szCs w:val="26"/>
              </w:rPr>
              <w:t>39 663,3</w:t>
            </w:r>
            <w:r w:rsidRPr="00481FD6">
              <w:rPr>
                <w:bCs/>
                <w:sz w:val="26"/>
                <w:szCs w:val="26"/>
              </w:rPr>
              <w:t xml:space="preserve"> тыс. рублей;</w:t>
            </w:r>
          </w:p>
          <w:p w:rsidR="00342DC9" w:rsidRPr="00481FD6" w:rsidRDefault="00342DC9" w:rsidP="00342DC9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481FD6">
              <w:rPr>
                <w:bCs/>
                <w:sz w:val="26"/>
                <w:szCs w:val="26"/>
              </w:rPr>
              <w:t xml:space="preserve">  5) прогнозируемый дефицит местного бюджета в сумме </w:t>
            </w:r>
            <w:r w:rsidR="00B01A33">
              <w:rPr>
                <w:bCs/>
                <w:sz w:val="26"/>
                <w:szCs w:val="26"/>
              </w:rPr>
              <w:t>441,3</w:t>
            </w:r>
            <w:r w:rsidRPr="00481FD6">
              <w:rPr>
                <w:bCs/>
                <w:sz w:val="26"/>
                <w:szCs w:val="26"/>
              </w:rPr>
              <w:t xml:space="preserve"> тыс. рублей</w:t>
            </w:r>
            <w:r w:rsidR="00CC6BC7">
              <w:rPr>
                <w:bCs/>
                <w:sz w:val="26"/>
                <w:szCs w:val="26"/>
              </w:rPr>
              <w:t>.</w:t>
            </w:r>
            <w:r w:rsidRPr="00481FD6">
              <w:rPr>
                <w:bCs/>
                <w:sz w:val="26"/>
                <w:szCs w:val="26"/>
              </w:rPr>
              <w:t>»;</w:t>
            </w:r>
          </w:p>
          <w:p w:rsidR="00B23A5F" w:rsidRPr="00481FD6" w:rsidRDefault="00B23A5F" w:rsidP="00B23A5F">
            <w:pPr>
              <w:spacing w:line="276" w:lineRule="auto"/>
              <w:ind w:firstLine="540"/>
              <w:jc w:val="both"/>
              <w:rPr>
                <w:bCs/>
              </w:rPr>
            </w:pPr>
          </w:p>
          <w:p w:rsidR="00681925" w:rsidRPr="00481FD6" w:rsidRDefault="00CC6133" w:rsidP="00CC613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="00CC6BC7" w:rsidRPr="00B513D3">
              <w:rPr>
                <w:b/>
                <w:sz w:val="26"/>
                <w:szCs w:val="26"/>
              </w:rPr>
              <w:t>3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681925" w:rsidRPr="00481FD6">
              <w:rPr>
                <w:sz w:val="26"/>
                <w:szCs w:val="26"/>
              </w:rPr>
              <w:t xml:space="preserve"> 16 изложить в следующей редакции:</w:t>
            </w:r>
          </w:p>
          <w:p w:rsidR="00681925" w:rsidRPr="00481FD6" w:rsidRDefault="00681925" w:rsidP="0068192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  <w:lang w:eastAsia="ar-SA"/>
              </w:rPr>
            </w:pPr>
            <w:r w:rsidRPr="00481FD6">
              <w:rPr>
                <w:bCs/>
                <w:sz w:val="26"/>
                <w:szCs w:val="26"/>
              </w:rPr>
              <w:t>«1</w:t>
            </w:r>
            <w:r w:rsidR="00E6206D" w:rsidRPr="00481FD6">
              <w:rPr>
                <w:bCs/>
                <w:sz w:val="26"/>
                <w:szCs w:val="26"/>
              </w:rPr>
              <w:t>6</w:t>
            </w:r>
            <w:r w:rsidRPr="00481FD6">
              <w:rPr>
                <w:bCs/>
                <w:sz w:val="26"/>
                <w:szCs w:val="26"/>
              </w:rPr>
              <w:t xml:space="preserve">. 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Установить в соответствии с </w:t>
            </w:r>
            <w:hyperlink r:id="rId9" w:history="1">
              <w:r w:rsidRPr="00481FD6">
                <w:rPr>
                  <w:bCs/>
                  <w:sz w:val="26"/>
                  <w:szCs w:val="26"/>
                  <w:lang w:eastAsia="ar-SA"/>
                </w:rPr>
                <w:t xml:space="preserve">абзацем </w:t>
              </w:r>
              <w:r w:rsidR="00624722" w:rsidRPr="00481FD6">
                <w:rPr>
                  <w:bCs/>
                  <w:sz w:val="26"/>
                  <w:szCs w:val="26"/>
                  <w:lang w:eastAsia="ar-SA"/>
                </w:rPr>
                <w:t>вторым</w:t>
              </w:r>
              <w:r w:rsidRPr="00481FD6">
                <w:rPr>
                  <w:bCs/>
                  <w:sz w:val="26"/>
                  <w:szCs w:val="26"/>
                  <w:lang w:eastAsia="ar-SA"/>
                </w:rPr>
                <w:t xml:space="preserve"> части 3 статьи </w:t>
              </w:r>
            </w:hyperlink>
            <w:r w:rsidR="00624722" w:rsidRPr="00481FD6">
              <w:rPr>
                <w:sz w:val="26"/>
                <w:szCs w:val="26"/>
                <w:lang w:eastAsia="ar-SA"/>
              </w:rPr>
              <w:t>31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главы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8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решения Собрания депутатов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Синегорского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сельского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 xml:space="preserve"> поселения от 22.02.2018          № 46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«Об утверждении Положения о бюджетном процессе в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Синегорском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сельском поселении», что основаниями для внесения в 202</w:t>
            </w:r>
            <w:r w:rsidR="00E754A3">
              <w:rPr>
                <w:bCs/>
                <w:sz w:val="26"/>
                <w:szCs w:val="26"/>
                <w:lang w:eastAsia="ar-SA"/>
              </w:rPr>
              <w:t>4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году изменений в показатели </w:t>
            </w:r>
            <w:r w:rsidRPr="00481FD6">
              <w:rPr>
                <w:bCs/>
                <w:sz w:val="26"/>
                <w:szCs w:val="26"/>
                <w:lang w:eastAsia="ar-SA"/>
              </w:rPr>
              <w:lastRenderedPageBreak/>
              <w:t>сво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дной бюджетной росписи бюджета Синегорского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сельского поселения Белокалитвинского района являются: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1) в части неиспользованных бюджетных ассигнований резервного фонда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выделенных в порядке, установленном Администрацией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- постановления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предусматривающие: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уменьшение объема ранее выделенных бюджетных ассигнований из резервного фонда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на суммы неиспользованных средств;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признание утратившими силу ранее принятых постановлений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о выделении средств из резервного фонда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района;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на выполнение региональных проектов, </w:t>
            </w:r>
            <w:r w:rsidR="00E05F37">
              <w:rPr>
                <w:sz w:val="26"/>
                <w:szCs w:val="26"/>
              </w:rPr>
              <w:t>направленных на реализацию федеральных проектов,</w:t>
            </w:r>
            <w:r w:rsidR="00F857C5">
              <w:rPr>
                <w:sz w:val="26"/>
                <w:szCs w:val="26"/>
              </w:rPr>
              <w:t xml:space="preserve"> входящие в состав национальных проектов,</w:t>
            </w:r>
            <w:r w:rsidR="00E05F37">
              <w:rPr>
                <w:sz w:val="26"/>
                <w:szCs w:val="26"/>
              </w:rPr>
              <w:t xml:space="preserve"> </w:t>
            </w:r>
            <w:r w:rsidRPr="00481FD6">
              <w:rPr>
                <w:sz w:val="26"/>
                <w:szCs w:val="26"/>
              </w:rPr>
              <w:t>не противоречащее бюджетному законодательству;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</w:t>
            </w:r>
            <w:r w:rsidR="00E05F37">
              <w:rPr>
                <w:sz w:val="26"/>
                <w:szCs w:val="26"/>
              </w:rPr>
              <w:t xml:space="preserve"> и бюджета Белокалитвинского района, </w:t>
            </w:r>
            <w:r w:rsidRPr="00481FD6">
              <w:rPr>
                <w:sz w:val="26"/>
                <w:szCs w:val="26"/>
              </w:rPr>
              <w:t>не противоречащее бюджетному законодательству;</w:t>
            </w:r>
          </w:p>
          <w:p w:rsidR="00681925" w:rsidRPr="00481FD6" w:rsidRDefault="00E05F37" w:rsidP="00F857C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81925" w:rsidRPr="00481FD6">
              <w:rPr>
                <w:sz w:val="26"/>
                <w:szCs w:val="26"/>
              </w:rPr>
      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="00681925"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="00681925" w:rsidRPr="00481FD6">
              <w:rPr>
                <w:sz w:val="26"/>
                <w:szCs w:val="26"/>
              </w:rPr>
              <w:t xml:space="preserve"> сельского поселения, финансовое обеспечение которых осуществляется за счет средств из областного бюджета, не противореча</w:t>
            </w:r>
            <w:r w:rsidR="00F857C5">
              <w:rPr>
                <w:sz w:val="26"/>
                <w:szCs w:val="26"/>
              </w:rPr>
              <w:t>щее бюджетному законодательству.</w:t>
            </w:r>
            <w:r w:rsidR="00681925" w:rsidRPr="00481FD6">
              <w:rPr>
                <w:sz w:val="26"/>
                <w:szCs w:val="26"/>
              </w:rPr>
              <w:t>»;</w:t>
            </w:r>
          </w:p>
          <w:p w:rsidR="00F857C5" w:rsidRPr="00F857C5" w:rsidRDefault="00CC6BC7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B513D3">
              <w:rPr>
                <w:b/>
                <w:sz w:val="26"/>
                <w:szCs w:val="26"/>
              </w:rPr>
              <w:t>4</w:t>
            </w:r>
            <w:r w:rsidR="00342DC9" w:rsidRPr="00B513D3">
              <w:rPr>
                <w:b/>
                <w:sz w:val="26"/>
                <w:szCs w:val="26"/>
              </w:rPr>
              <w:t>)</w:t>
            </w:r>
            <w:r w:rsidR="00F857C5" w:rsidRPr="00F857C5">
              <w:rPr>
                <w:b/>
                <w:sz w:val="26"/>
                <w:szCs w:val="26"/>
              </w:rPr>
              <w:t xml:space="preserve"> </w:t>
            </w:r>
            <w:r w:rsidR="00F857C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ополнить</w:t>
            </w:r>
            <w:r w:rsidR="00F857C5" w:rsidRPr="00F857C5">
              <w:rPr>
                <w:sz w:val="26"/>
                <w:szCs w:val="26"/>
              </w:rPr>
              <w:t xml:space="preserve"> </w:t>
            </w:r>
            <w:r w:rsidR="00E754A3">
              <w:rPr>
                <w:sz w:val="26"/>
                <w:szCs w:val="26"/>
              </w:rPr>
              <w:t>частью</w:t>
            </w:r>
            <w:r w:rsidR="00F857C5" w:rsidRPr="00F857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="00F857C5" w:rsidRPr="00F857C5">
              <w:rPr>
                <w:sz w:val="26"/>
                <w:szCs w:val="26"/>
              </w:rPr>
              <w:t xml:space="preserve"> следующего содержания:</w:t>
            </w:r>
          </w:p>
          <w:p w:rsidR="00F857C5" w:rsidRDefault="00F857C5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9F17DF">
              <w:rPr>
                <w:sz w:val="26"/>
                <w:szCs w:val="26"/>
              </w:rPr>
              <w:t>«</w:t>
            </w:r>
            <w:r w:rsidR="00CC6BC7" w:rsidRPr="009F17DF">
              <w:rPr>
                <w:sz w:val="26"/>
                <w:szCs w:val="26"/>
              </w:rPr>
              <w:t>19</w:t>
            </w:r>
            <w:r w:rsidR="00CC6BC7" w:rsidRPr="009F17DF">
              <w:rPr>
                <w:sz w:val="26"/>
                <w:szCs w:val="26"/>
                <w:vertAlign w:val="superscript"/>
              </w:rPr>
              <w:t>1</w:t>
            </w:r>
            <w:r w:rsidR="00CC6BC7">
              <w:rPr>
                <w:b/>
                <w:sz w:val="26"/>
                <w:szCs w:val="26"/>
              </w:rPr>
              <w:t xml:space="preserve"> </w:t>
            </w:r>
            <w:r w:rsidRPr="00F857C5">
              <w:rPr>
                <w:sz w:val="26"/>
                <w:szCs w:val="26"/>
              </w:rPr>
              <w:t xml:space="preserve">Установить, что в 2024 году не допускается уменьшение показателей сводной бюджетной росписи бюджета </w:t>
            </w:r>
            <w:r w:rsidR="00B01A33">
              <w:rPr>
                <w:sz w:val="26"/>
                <w:szCs w:val="26"/>
              </w:rPr>
              <w:t xml:space="preserve">Синегорского сельского поселения </w:t>
            </w:r>
            <w:r w:rsidRPr="00F857C5">
              <w:rPr>
                <w:sz w:val="26"/>
                <w:szCs w:val="26"/>
              </w:rPr>
              <w:t xml:space="preserve">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расходов на страховые взносы на обязательное медицинское страхование неработающего населения (за исключением случаев экономии и реорганизации бюджетных учреждений).</w:t>
            </w:r>
            <w:r>
              <w:rPr>
                <w:sz w:val="26"/>
                <w:szCs w:val="26"/>
              </w:rPr>
              <w:t>»;</w:t>
            </w:r>
          </w:p>
          <w:p w:rsidR="00301075" w:rsidRPr="00F40318" w:rsidRDefault="00301075" w:rsidP="009F17DF">
            <w:pPr>
              <w:rPr>
                <w:sz w:val="26"/>
                <w:szCs w:val="26"/>
              </w:rPr>
            </w:pPr>
          </w:p>
        </w:tc>
      </w:tr>
    </w:tbl>
    <w:p w:rsidR="001B499D" w:rsidRPr="00481FD6" w:rsidRDefault="001B499D" w:rsidP="0054794C">
      <w:pPr>
        <w:jc w:val="both"/>
      </w:pPr>
    </w:p>
    <w:p w:rsidR="00141277" w:rsidRPr="00481FD6" w:rsidRDefault="00020C83" w:rsidP="00B23A5F">
      <w:pPr>
        <w:autoSpaceDE w:val="0"/>
        <w:spacing w:line="276" w:lineRule="auto"/>
        <w:jc w:val="both"/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141277" w:rsidRPr="00481FD6" w:rsidRDefault="00141277" w:rsidP="006B22E8">
      <w:pPr>
        <w:sectPr w:rsidR="00141277" w:rsidRPr="00481FD6" w:rsidSect="00326665">
          <w:headerReference w:type="even" r:id="rId10"/>
          <w:pgSz w:w="11906" w:h="16838" w:code="9"/>
          <w:pgMar w:top="568" w:right="567" w:bottom="794" w:left="709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3085"/>
        <w:gridCol w:w="66"/>
        <w:gridCol w:w="520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326665">
        <w:trPr>
          <w:trHeight w:val="270"/>
        </w:trPr>
        <w:tc>
          <w:tcPr>
            <w:tcW w:w="64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B01A33"/>
        </w:tc>
        <w:tc>
          <w:tcPr>
            <w:tcW w:w="8856" w:type="dxa"/>
            <w:gridSpan w:val="8"/>
          </w:tcPr>
          <w:p w:rsidR="00326665" w:rsidRPr="00481FD6" w:rsidRDefault="00326665" w:rsidP="00326665"/>
          <w:p w:rsidR="00326665" w:rsidRPr="00481FD6" w:rsidRDefault="000A6FA1" w:rsidP="000A6FA1">
            <w:pPr>
              <w:jc w:val="right"/>
            </w:pPr>
            <w:r w:rsidRPr="00481FD6">
              <w:t xml:space="preserve"> «</w:t>
            </w:r>
            <w:r w:rsidR="00326665" w:rsidRPr="00481FD6">
              <w:t>Приложение 2</w:t>
            </w:r>
          </w:p>
          <w:p w:rsidR="00326665" w:rsidRPr="00481FD6" w:rsidRDefault="00326665" w:rsidP="00326665">
            <w:pPr>
              <w:jc w:val="right"/>
            </w:pPr>
            <w:r w:rsidRPr="00481FD6">
              <w:t>к решению Собрания депутатов</w:t>
            </w:r>
          </w:p>
          <w:p w:rsidR="00326665" w:rsidRPr="00481FD6" w:rsidRDefault="00326665" w:rsidP="00326665">
            <w:pPr>
              <w:jc w:val="right"/>
            </w:pPr>
            <w:r w:rsidRPr="00481FD6">
              <w:t>Синегорского сельского поселения</w:t>
            </w:r>
          </w:p>
          <w:p w:rsidR="00326665" w:rsidRPr="00481FD6" w:rsidRDefault="005F0DBB" w:rsidP="00326665">
            <w:pPr>
              <w:jc w:val="right"/>
            </w:pPr>
            <w:r w:rsidRPr="00481FD6">
              <w:t>от 28</w:t>
            </w:r>
            <w:r w:rsidR="00326665" w:rsidRPr="00481FD6">
              <w:t>.12.202</w:t>
            </w:r>
            <w:r w:rsidR="0025234F">
              <w:t>3 года № 80</w:t>
            </w:r>
            <w:r w:rsidR="00326665" w:rsidRPr="00481FD6">
              <w:t xml:space="preserve">   </w:t>
            </w:r>
          </w:p>
          <w:p w:rsidR="00326665" w:rsidRPr="00481FD6" w:rsidRDefault="00326665" w:rsidP="00326665">
            <w:pPr>
              <w:jc w:val="right"/>
            </w:pPr>
            <w:r w:rsidRPr="00481FD6">
              <w:t xml:space="preserve">«О бюджете Синегорского сельского </w:t>
            </w:r>
          </w:p>
          <w:p w:rsidR="00326665" w:rsidRPr="00481FD6" w:rsidRDefault="00326665" w:rsidP="00326665">
            <w:pPr>
              <w:jc w:val="right"/>
            </w:pPr>
            <w:r w:rsidRPr="00481FD6">
              <w:t xml:space="preserve">поселения Белокалитвинского района </w:t>
            </w:r>
          </w:p>
          <w:p w:rsidR="00326665" w:rsidRPr="00481FD6" w:rsidRDefault="00326665" w:rsidP="00326665">
            <w:pPr>
              <w:jc w:val="right"/>
            </w:pPr>
            <w:r w:rsidRPr="00481FD6">
              <w:t>на 202</w:t>
            </w:r>
            <w:r w:rsidR="0025234F">
              <w:t>4</w:t>
            </w:r>
            <w:r w:rsidRPr="00481FD6">
              <w:t xml:space="preserve"> год и на плановый период  202</w:t>
            </w:r>
            <w:r w:rsidR="0025234F">
              <w:t>5</w:t>
            </w:r>
            <w:r w:rsidRPr="00481FD6">
              <w:t xml:space="preserve">  и  202</w:t>
            </w:r>
            <w:r w:rsidR="0025234F">
              <w:t>6</w:t>
            </w:r>
            <w:r w:rsidRPr="00481FD6">
              <w:t xml:space="preserve"> годов»</w:t>
            </w:r>
          </w:p>
          <w:p w:rsidR="00326665" w:rsidRPr="00481FD6" w:rsidRDefault="00326665" w:rsidP="00326665">
            <w:pPr>
              <w:jc w:val="right"/>
            </w:pPr>
          </w:p>
        </w:tc>
      </w:tr>
      <w:tr w:rsidR="00326665" w:rsidRPr="00481FD6" w:rsidTr="00326665">
        <w:trPr>
          <w:trHeight w:val="699"/>
        </w:trPr>
        <w:tc>
          <w:tcPr>
            <w:tcW w:w="3151" w:type="dxa"/>
            <w:gridSpan w:val="2"/>
            <w:tcBorders>
              <w:top w:val="nil"/>
              <w:left w:val="nil"/>
              <w:right w:val="nil"/>
            </w:tcBorders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</w:p>
        </w:tc>
        <w:tc>
          <w:tcPr>
            <w:tcW w:w="1212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Синегорского сельского поселения Белокалитвинского района на 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 и на плановый период 202</w:t>
            </w:r>
            <w:r w:rsidR="0025234F">
              <w:rPr>
                <w:rFonts w:cs="Arial CYR"/>
              </w:rPr>
              <w:t>5</w:t>
            </w:r>
            <w:r w:rsidR="00BA0F16" w:rsidRPr="00481FD6">
              <w:rPr>
                <w:rFonts w:cs="Arial CYR"/>
              </w:rPr>
              <w:t xml:space="preserve"> и 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годов</w:t>
            </w:r>
          </w:p>
        </w:tc>
      </w:tr>
      <w:tr w:rsidR="00326665" w:rsidRPr="00481FD6" w:rsidTr="00326665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</w:p>
        </w:tc>
        <w:tc>
          <w:tcPr>
            <w:tcW w:w="793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3266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3266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1B68D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D84097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E247BA" w:rsidRPr="00481FD6" w:rsidRDefault="00E247BA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44871" w:rsidRPr="00481FD6" w:rsidRDefault="00B01A33" w:rsidP="000A6FA1">
      <w:r>
        <w:rPr>
          <w:b/>
          <w:bCs/>
        </w:rPr>
        <w:t>5</w:t>
      </w:r>
      <w:r w:rsidR="000A6FA1" w:rsidRPr="00481FD6">
        <w:rPr>
          <w:b/>
          <w:bCs/>
        </w:rPr>
        <w:t>)</w:t>
      </w:r>
      <w:r w:rsidR="000A6FA1" w:rsidRPr="00481FD6">
        <w:rPr>
          <w:bCs/>
        </w:rPr>
        <w:t xml:space="preserve"> приложение </w:t>
      </w:r>
      <w:r w:rsidR="0025234F">
        <w:rPr>
          <w:bCs/>
        </w:rPr>
        <w:t>2</w:t>
      </w:r>
      <w:r w:rsidR="000A6FA1" w:rsidRPr="00481FD6">
        <w:rPr>
          <w:bCs/>
        </w:rPr>
        <w:t xml:space="preserve"> изложить в следующей редакции:</w:t>
      </w:r>
    </w:p>
    <w:p w:rsidR="00C44871" w:rsidRPr="00481FD6" w:rsidRDefault="00C44871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F14A8" w:rsidRDefault="007F14A8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Pr="00481FD6" w:rsidRDefault="00D75085" w:rsidP="00CC4F62"/>
    <w:p w:rsidR="002E4C35" w:rsidRPr="00481FD6" w:rsidRDefault="00B01A33" w:rsidP="002E4C35">
      <w:r>
        <w:rPr>
          <w:b/>
          <w:bCs/>
        </w:rPr>
        <w:lastRenderedPageBreak/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26" w:type="dxa"/>
        <w:tblInd w:w="91" w:type="dxa"/>
        <w:tblLook w:val="04A0"/>
      </w:tblPr>
      <w:tblGrid>
        <w:gridCol w:w="7622"/>
        <w:gridCol w:w="709"/>
        <w:gridCol w:w="708"/>
        <w:gridCol w:w="1610"/>
        <w:gridCol w:w="850"/>
        <w:gridCol w:w="1276"/>
        <w:gridCol w:w="1276"/>
        <w:gridCol w:w="1275"/>
      </w:tblGrid>
      <w:tr w:rsidR="00A8117F" w:rsidRPr="00A569AE" w:rsidTr="00A8117F">
        <w:trPr>
          <w:trHeight w:val="920"/>
          <w:tblHeader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25234F" w:rsidP="0025234F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4</w:t>
            </w:r>
            <w:r w:rsidRPr="00A8117F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2026 г.</w:t>
            </w:r>
          </w:p>
        </w:tc>
      </w:tr>
      <w:tr w:rsidR="00A8117F" w:rsidRPr="00A569AE" w:rsidTr="00A8117F">
        <w:trPr>
          <w:trHeight w:val="450"/>
          <w:tblHeader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25 160,4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11 375,7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14 336,5</w:t>
            </w:r>
          </w:p>
        </w:tc>
      </w:tr>
      <w:tr w:rsidR="00A8117F" w:rsidRPr="00A569AE" w:rsidTr="00A8117F">
        <w:trPr>
          <w:trHeight w:val="157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11 058,8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29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</w:tr>
      <w:tr w:rsidR="00A8117F" w:rsidRPr="00A569AE" w:rsidTr="00A8117F">
        <w:trPr>
          <w:trHeight w:val="21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1 528,0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1 528,0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7,9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7,9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</w:tr>
      <w:tr w:rsidR="00A8117F" w:rsidRPr="00A569AE" w:rsidTr="00A8117F">
        <w:trPr>
          <w:trHeight w:val="243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</w:tr>
      <w:tr w:rsidR="00A8117F" w:rsidRPr="00A569AE" w:rsidTr="00A8117F">
        <w:trPr>
          <w:trHeight w:val="126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</w:tr>
      <w:tr w:rsidR="00A8117F" w:rsidRPr="00A569AE" w:rsidTr="00A8117F">
        <w:trPr>
          <w:trHeight w:val="20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167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2 069,4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</w:tr>
      <w:tr w:rsidR="00A8117F" w:rsidRPr="00A569AE" w:rsidTr="00A8117F">
        <w:trPr>
          <w:trHeight w:val="19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обеспечение 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</w:tr>
      <w:tr w:rsidR="00A8117F" w:rsidRPr="00A569AE" w:rsidTr="00A8117F">
        <w:trPr>
          <w:trHeight w:val="169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</w:tr>
      <w:tr w:rsidR="00A8117F" w:rsidRPr="00A569AE" w:rsidTr="00A8117F">
        <w:trPr>
          <w:trHeight w:val="21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60,0</w:t>
            </w:r>
          </w:p>
        </w:tc>
      </w:tr>
      <w:tr w:rsidR="00A8117F" w:rsidRPr="00A569AE" w:rsidTr="00A8117F">
        <w:trPr>
          <w:trHeight w:val="204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</w:tr>
      <w:tr w:rsidR="00A8117F" w:rsidRPr="00A569AE" w:rsidTr="00A8117F">
        <w:trPr>
          <w:trHeight w:val="192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634,1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634,1</w:t>
            </w:r>
          </w:p>
        </w:tc>
      </w:tr>
      <w:tr w:rsidR="00A8117F" w:rsidRPr="00A569AE" w:rsidTr="00A8117F">
        <w:trPr>
          <w:trHeight w:val="808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1 133,3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1 133,3</w:t>
            </w:r>
          </w:p>
        </w:tc>
      </w:tr>
      <w:tr w:rsidR="00A8117F" w:rsidRPr="00A569AE" w:rsidTr="00A8117F">
        <w:trPr>
          <w:trHeight w:val="91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150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170,0</w:t>
            </w:r>
          </w:p>
        </w:tc>
      </w:tr>
      <w:tr w:rsidR="00A8117F" w:rsidRPr="00A569AE" w:rsidTr="00A8117F">
        <w:trPr>
          <w:trHeight w:val="212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обеспечение 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2 739,3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50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43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2561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12 619,6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5 768,6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172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82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908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30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 xml:space="preserve">Субсидии юридическим лицам (кроме некоммерческих организаций), </w:t>
            </w:r>
            <w:r w:rsidRPr="00A569AE">
              <w:rPr>
                <w:color w:val="00000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4 219,1</w:t>
            </w:r>
          </w:p>
        </w:tc>
      </w:tr>
      <w:tr w:rsidR="00A8117F" w:rsidRPr="00A569AE" w:rsidTr="00A8117F">
        <w:trPr>
          <w:trHeight w:val="196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</w:tr>
      <w:tr w:rsidR="00A8117F" w:rsidRPr="00A569AE" w:rsidTr="00A8117F">
        <w:trPr>
          <w:trHeight w:val="1449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</w:tr>
      <w:tr w:rsidR="00A8117F" w:rsidRPr="00A569AE" w:rsidTr="00A8117F">
        <w:trPr>
          <w:trHeight w:val="20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3 399,4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3 399,4</w:t>
            </w:r>
          </w:p>
        </w:tc>
      </w:tr>
      <w:tr w:rsidR="00A8117F" w:rsidRPr="00A569AE" w:rsidTr="00A8117F">
        <w:trPr>
          <w:trHeight w:val="200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189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25234F">
        <w:trPr>
          <w:trHeight w:val="271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3 294,1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3 294,1</w:t>
            </w:r>
          </w:p>
        </w:tc>
      </w:tr>
      <w:tr w:rsidR="00A8117F" w:rsidRPr="00A569AE" w:rsidTr="0025234F">
        <w:trPr>
          <w:trHeight w:val="17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3 229,8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3 229,8</w:t>
            </w:r>
          </w:p>
        </w:tc>
      </w:tr>
      <w:tr w:rsidR="00A8117F" w:rsidRPr="00A569AE" w:rsidTr="0025234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25234F">
        <w:trPr>
          <w:trHeight w:val="20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</w:tr>
      <w:tr w:rsidR="00A8117F" w:rsidRPr="00A569AE" w:rsidTr="0025234F">
        <w:trPr>
          <w:trHeight w:val="168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  <w:r w:rsidR="0025234F">
              <w:rPr>
                <w:color w:val="000000"/>
              </w:rPr>
              <w:t>»;</w:t>
            </w:r>
          </w:p>
        </w:tc>
      </w:tr>
    </w:tbl>
    <w:p w:rsidR="00A569AE" w:rsidRPr="00481FD6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b/>
          <w:bCs/>
        </w:rPr>
      </w:pPr>
    </w:p>
    <w:p w:rsidR="008C39C1" w:rsidRDefault="008C39C1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Pr="00481FD6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F60C53" w:rsidRPr="00481FD6" w:rsidRDefault="00B01A33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Pr="00481FD6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tbl>
      <w:tblPr>
        <w:tblW w:w="15466" w:type="dxa"/>
        <w:tblInd w:w="93" w:type="dxa"/>
        <w:tblLook w:val="04A0"/>
      </w:tblPr>
      <w:tblGrid>
        <w:gridCol w:w="6819"/>
        <w:gridCol w:w="993"/>
        <w:gridCol w:w="708"/>
        <w:gridCol w:w="851"/>
        <w:gridCol w:w="1610"/>
        <w:gridCol w:w="696"/>
        <w:gridCol w:w="1110"/>
        <w:gridCol w:w="1276"/>
        <w:gridCol w:w="1417"/>
      </w:tblGrid>
      <w:tr w:rsidR="00055388" w:rsidRPr="00055388" w:rsidTr="00060466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ВР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202</w:t>
            </w:r>
            <w:r w:rsidR="0025234F">
              <w:rPr>
                <w:color w:val="00000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</w:t>
            </w:r>
            <w:r w:rsidR="0025234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</w:t>
            </w:r>
            <w:r w:rsidR="002523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055388" w:rsidRPr="00055388" w:rsidTr="00060466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</w:tr>
      <w:tr w:rsidR="00055388" w:rsidRPr="00055388" w:rsidTr="00060466">
        <w:trPr>
          <w:trHeight w:val="300"/>
          <w:tblHeader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55388" w:rsidRPr="00055388" w:rsidTr="0005538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25 160,4</w:t>
            </w:r>
          </w:p>
        </w:tc>
      </w:tr>
      <w:tr w:rsidR="00055388" w:rsidRPr="00055388" w:rsidTr="0005538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25 160,4</w:t>
            </w:r>
          </w:p>
        </w:tc>
      </w:tr>
      <w:tr w:rsidR="00055388" w:rsidRPr="00055388" w:rsidTr="00060466">
        <w:trPr>
          <w:trHeight w:val="24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1.2.0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</w:tr>
      <w:tr w:rsidR="00055388" w:rsidRPr="00055388" w:rsidTr="00060466">
        <w:trPr>
          <w:trHeight w:val="26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1 528,0</w:t>
            </w:r>
          </w:p>
        </w:tc>
      </w:tr>
      <w:tr w:rsidR="00055388" w:rsidRPr="00055388" w:rsidTr="00060466">
        <w:trPr>
          <w:trHeight w:val="22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7,9</w:t>
            </w:r>
          </w:p>
        </w:tc>
      </w:tr>
      <w:tr w:rsidR="00055388" w:rsidRPr="00055388" w:rsidTr="00060466">
        <w:trPr>
          <w:trHeight w:val="23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</w:tr>
      <w:tr w:rsidR="00055388" w:rsidRPr="00055388" w:rsidTr="00060466">
        <w:trPr>
          <w:trHeight w:val="26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</w:tr>
      <w:tr w:rsidR="00055388" w:rsidRPr="00055388" w:rsidTr="00060466">
        <w:trPr>
          <w:trHeight w:val="23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</w:tr>
      <w:tr w:rsidR="00055388" w:rsidRPr="00055388" w:rsidTr="00060466">
        <w:trPr>
          <w:trHeight w:val="18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</w:tr>
      <w:tr w:rsidR="00055388" w:rsidRPr="00055388" w:rsidTr="00060466">
        <w:trPr>
          <w:trHeight w:val="8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8.8.0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1 020,7</w:t>
            </w:r>
          </w:p>
        </w:tc>
      </w:tr>
      <w:tr w:rsidR="00055388" w:rsidRPr="00055388" w:rsidTr="00060466">
        <w:trPr>
          <w:trHeight w:val="12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8.7.0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</w:tr>
      <w:tr w:rsidR="00055388" w:rsidRPr="00055388" w:rsidTr="00060466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</w:tr>
      <w:tr w:rsidR="00055388" w:rsidRPr="00055388" w:rsidTr="00060466">
        <w:trPr>
          <w:trHeight w:val="22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60,0</w:t>
            </w:r>
          </w:p>
        </w:tc>
      </w:tr>
      <w:tr w:rsidR="00055388" w:rsidRPr="00055388" w:rsidTr="00060466">
        <w:trPr>
          <w:trHeight w:val="18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</w:tr>
      <w:tr w:rsidR="00055388" w:rsidRPr="00055388" w:rsidTr="00060466">
        <w:trPr>
          <w:trHeight w:val="18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634,1</w:t>
            </w:r>
          </w:p>
        </w:tc>
      </w:tr>
      <w:tr w:rsidR="00055388" w:rsidRPr="00055388" w:rsidTr="00060466">
        <w:trPr>
          <w:trHeight w:val="8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8.8.0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1 133,3</w:t>
            </w:r>
          </w:p>
        </w:tc>
      </w:tr>
      <w:tr w:rsidR="00055388" w:rsidRPr="00055388" w:rsidTr="00060466">
        <w:trPr>
          <w:trHeight w:val="12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</w:tr>
      <w:tr w:rsidR="00055388" w:rsidRPr="00055388" w:rsidTr="00060466">
        <w:trPr>
          <w:trHeight w:val="16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1.2.0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422,8</w:t>
            </w:r>
          </w:p>
        </w:tc>
      </w:tr>
      <w:tr w:rsidR="00055388" w:rsidRPr="00055388" w:rsidTr="00060466">
        <w:trPr>
          <w:trHeight w:val="22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70,0</w:t>
            </w:r>
          </w:p>
        </w:tc>
      </w:tr>
      <w:tr w:rsidR="00055388" w:rsidRPr="00055388" w:rsidTr="00060466">
        <w:trPr>
          <w:trHeight w:val="18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19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169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</w:tr>
      <w:tr w:rsidR="00055388" w:rsidRPr="00055388" w:rsidTr="00060466">
        <w:trPr>
          <w:trHeight w:val="18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1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260,0</w:t>
            </w:r>
          </w:p>
        </w:tc>
      </w:tr>
      <w:tr w:rsidR="00055388" w:rsidRPr="00055388" w:rsidTr="00060466">
        <w:trPr>
          <w:trHeight w:val="37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1 289,5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1 289,5</w:t>
            </w:r>
          </w:p>
        </w:tc>
      </w:tr>
      <w:tr w:rsidR="00055388" w:rsidRPr="00055388" w:rsidTr="00060466">
        <w:trPr>
          <w:trHeight w:val="18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250,0</w:t>
            </w:r>
          </w:p>
        </w:tc>
      </w:tr>
      <w:tr w:rsidR="00055388" w:rsidRPr="00055388" w:rsidTr="00060466">
        <w:trPr>
          <w:trHeight w:val="1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400,0</w:t>
            </w:r>
          </w:p>
        </w:tc>
      </w:tr>
      <w:tr w:rsidR="00055388" w:rsidRPr="00055388" w:rsidTr="00060466">
        <w:trPr>
          <w:trHeight w:val="20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3 399,4</w:t>
            </w:r>
          </w:p>
        </w:tc>
      </w:tr>
      <w:tr w:rsidR="00055388" w:rsidRPr="00055388" w:rsidTr="00060466">
        <w:trPr>
          <w:trHeight w:val="17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169,7</w:t>
            </w:r>
          </w:p>
        </w:tc>
      </w:tr>
      <w:tr w:rsidR="00055388" w:rsidRPr="00055388" w:rsidTr="00060466">
        <w:trPr>
          <w:trHeight w:val="2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850,0</w:t>
            </w:r>
          </w:p>
        </w:tc>
      </w:tr>
      <w:tr w:rsidR="00055388" w:rsidRPr="00055388" w:rsidTr="00060466">
        <w:trPr>
          <w:trHeight w:val="311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30,0</w:t>
            </w:r>
          </w:p>
        </w:tc>
      </w:tr>
      <w:tr w:rsidR="00055388" w:rsidRPr="00055388" w:rsidTr="00060466">
        <w:trPr>
          <w:trHeight w:val="1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6 151,7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3 229,8</w:t>
            </w:r>
          </w:p>
        </w:tc>
      </w:tr>
      <w:tr w:rsidR="00055388" w:rsidRPr="00055388" w:rsidTr="00060466">
        <w:trPr>
          <w:trHeight w:val="20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</w:tr>
      <w:tr w:rsidR="00055388" w:rsidRPr="00055388" w:rsidTr="00060466">
        <w:trPr>
          <w:trHeight w:val="23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</w:tr>
      <w:tr w:rsidR="00055388" w:rsidRPr="00055388" w:rsidTr="00060466">
        <w:trPr>
          <w:trHeight w:val="1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ind w:left="-249" w:firstLine="249"/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940B4" w:rsidRDefault="001940B4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0A4CBE" w:rsidRDefault="000A4CBE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9640C1" w:rsidRPr="000A4CBE" w:rsidRDefault="009640C1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  <w:rPr>
          <w:sz w:val="22"/>
          <w:szCs w:val="22"/>
        </w:rPr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right"/>
        <w:rPr>
          <w:b/>
        </w:rPr>
      </w:pPr>
      <w:r w:rsidRPr="00481FD6">
        <w:rPr>
          <w:b/>
        </w:rPr>
        <w:t xml:space="preserve">                                                                                                                       </w:t>
      </w:r>
      <w:r w:rsidRPr="00481FD6">
        <w:t xml:space="preserve">       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   </w:t>
            </w:r>
          </w:p>
          <w:p w:rsidR="0047303B" w:rsidRPr="00B01A33" w:rsidRDefault="00B01A33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608" w:type="dxa"/>
        <w:tblInd w:w="93" w:type="dxa"/>
        <w:tblLook w:val="04A0"/>
      </w:tblPr>
      <w:tblGrid>
        <w:gridCol w:w="8379"/>
        <w:gridCol w:w="1610"/>
        <w:gridCol w:w="696"/>
        <w:gridCol w:w="812"/>
        <w:gridCol w:w="550"/>
        <w:gridCol w:w="1151"/>
        <w:gridCol w:w="1276"/>
        <w:gridCol w:w="1134"/>
      </w:tblGrid>
      <w:tr w:rsidR="00913304" w:rsidRPr="00913304" w:rsidTr="004805ED">
        <w:trPr>
          <w:trHeight w:val="300"/>
          <w:tblHeader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25234F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2026 г.</w:t>
            </w: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913304" w:rsidRPr="00913304" w:rsidTr="00913304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25 160,4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6 195,7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1 799,5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1 799,5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5 971,3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1 539,5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250,0</w:t>
            </w:r>
          </w:p>
        </w:tc>
      </w:tr>
      <w:tr w:rsidR="00913304" w:rsidRPr="00913304" w:rsidTr="004805ED">
        <w:trPr>
          <w:trHeight w:val="24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1 289,5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187,0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117,0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70,0</w:t>
            </w:r>
          </w:p>
        </w:tc>
      </w:tr>
      <w:tr w:rsidR="00913304" w:rsidRPr="00913304" w:rsidTr="004805ED">
        <w:trPr>
          <w:trHeight w:val="22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3 294,1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3 294,1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3 229,8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2 279,3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185,0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85,0</w:t>
            </w:r>
          </w:p>
        </w:tc>
      </w:tr>
      <w:tr w:rsidR="00913304" w:rsidRPr="00913304" w:rsidTr="00913304">
        <w:trPr>
          <w:trHeight w:val="28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30,0</w:t>
            </w:r>
          </w:p>
        </w:tc>
      </w:tr>
      <w:tr w:rsidR="00913304" w:rsidRPr="00913304" w:rsidTr="004805ED">
        <w:trPr>
          <w:trHeight w:val="18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10 959,7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11 696,5</w:t>
            </w:r>
          </w:p>
        </w:tc>
      </w:tr>
      <w:tr w:rsidR="00913304" w:rsidRPr="00913304" w:rsidTr="004805ED">
        <w:trPr>
          <w:trHeight w:val="11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10 959,7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11 696,5</w:t>
            </w:r>
          </w:p>
        </w:tc>
      </w:tr>
      <w:tr w:rsidR="00913304" w:rsidRPr="00913304" w:rsidTr="004805ED">
        <w:trPr>
          <w:trHeight w:val="18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1.2.0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</w:tr>
      <w:tr w:rsidR="00913304" w:rsidRPr="00913304" w:rsidTr="004805ED">
        <w:trPr>
          <w:trHeight w:val="19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1 480,7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1 528,0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7,9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634,1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3 969,1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3 969,1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3 708,3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3 399,4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169,7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2 860,8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2 860,8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1.2.0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422,8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8.7.0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8.8.0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1 020,7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8.8.0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1 133,3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155,0»;</w:t>
            </w:r>
          </w:p>
        </w:tc>
      </w:tr>
    </w:tbl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606824" w:rsidRDefault="0060682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835"/>
        <w:jc w:val="right"/>
      </w:pPr>
      <w:r w:rsidRPr="00481FD6">
        <w:t xml:space="preserve">                (тыс.рублей)</w:t>
      </w:r>
    </w:p>
    <w:p w:rsidR="0047303B" w:rsidRPr="00481FD6" w:rsidRDefault="003E3D96" w:rsidP="003E3D96">
      <w:pPr>
        <w:tabs>
          <w:tab w:val="left" w:pos="13283"/>
        </w:tabs>
      </w:pPr>
      <w:r w:rsidRPr="00481FD6">
        <w:tab/>
      </w:r>
    </w:p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326665">
          <w:pgSz w:w="16838" w:h="11906" w:orient="landscape" w:code="9"/>
          <w:pgMar w:top="284" w:right="851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2721C">
      <w:pPr>
        <w:framePr w:w="15312" w:hSpace="180" w:wrap="around" w:vAnchor="text" w:hAnchor="text" w:x="993" w:y="1"/>
        <w:suppressOverlap/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FB6476" w:rsidRPr="00481FD6" w:rsidRDefault="00B01A33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9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Pr="00EE0D48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года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3648DF" w:rsidP="00BD5F27">
            <w:pPr>
              <w:jc w:val="both"/>
              <w:rPr>
                <w:sz w:val="22"/>
                <w:szCs w:val="22"/>
              </w:rPr>
            </w:pPr>
            <w:r w:rsidRPr="003648DF">
              <w:rPr>
                <w:sz w:val="22"/>
                <w:szCs w:val="22"/>
              </w:rPr>
              <w:t>1</w:t>
            </w:r>
            <w:r w:rsidR="00B01A33" w:rsidRPr="00EE0D48">
              <w:rPr>
                <w:sz w:val="22"/>
                <w:szCs w:val="22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3648DF" w:rsidRDefault="003648DF" w:rsidP="00BD5F27">
            <w:pPr>
              <w:jc w:val="both"/>
              <w:rPr>
                <w:sz w:val="22"/>
                <w:szCs w:val="22"/>
              </w:rPr>
            </w:pPr>
            <w:r w:rsidRPr="003648DF">
              <w:rPr>
                <w:sz w:val="22"/>
                <w:szCs w:val="22"/>
              </w:rPr>
              <w:t>2</w:t>
            </w:r>
            <w:r w:rsidR="00B01A33" w:rsidRPr="003648DF">
              <w:rPr>
                <w:sz w:val="22"/>
                <w:szCs w:val="22"/>
              </w:rPr>
              <w:t>.</w:t>
            </w:r>
            <w:r w:rsidR="00B01A33" w:rsidRPr="003648DF">
              <w:rPr>
                <w:color w:val="000000"/>
                <w:sz w:val="22"/>
                <w:szCs w:val="22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481FD6" w:rsidRDefault="00045C32" w:rsidP="00B01A33">
      <w:pPr>
        <w:jc w:val="right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42721C" w:rsidRDefault="00F84F27" w:rsidP="00B01A33">
      <w:pPr>
        <w:rPr>
          <w:bCs/>
          <w:color w:val="000000"/>
          <w:sz w:val="26"/>
          <w:szCs w:val="26"/>
        </w:rPr>
      </w:pPr>
      <w:r w:rsidRPr="00481FD6">
        <w:rPr>
          <w:b/>
        </w:rPr>
        <w:t xml:space="preserve">        </w:t>
      </w:r>
    </w:p>
    <w:p w:rsidR="0042721C" w:rsidRDefault="0042721C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42721C" w:rsidRPr="00481FD6" w:rsidRDefault="0042721C" w:rsidP="0042721C">
      <w:pPr>
        <w:framePr w:w="15312" w:hSpace="180" w:wrap="around" w:vAnchor="text" w:hAnchor="text" w:x="993" w:y="1"/>
        <w:suppressOverlap/>
      </w:pPr>
      <w:r w:rsidRPr="00481FD6">
        <w:rPr>
          <w:b/>
        </w:rPr>
        <w:lastRenderedPageBreak/>
        <w:t>1</w:t>
      </w:r>
      <w:r w:rsidR="00B01A33">
        <w:rPr>
          <w:b/>
        </w:rPr>
        <w:t>0</w:t>
      </w:r>
      <w:r w:rsidRPr="00481FD6">
        <w:rPr>
          <w:b/>
        </w:rPr>
        <w:t>)</w:t>
      </w:r>
      <w:r w:rsidR="00CC6BC7">
        <w:t xml:space="preserve">  </w:t>
      </w:r>
      <w:r w:rsidRPr="00481FD6">
        <w:t xml:space="preserve">приложение </w:t>
      </w:r>
      <w:r w:rsidR="0025234F">
        <w:t>10</w:t>
      </w:r>
      <w:r w:rsidRPr="00481FD6">
        <w:t xml:space="preserve"> </w:t>
      </w:r>
      <w:r w:rsidR="003648DF">
        <w:t xml:space="preserve">изложить </w:t>
      </w:r>
      <w:r w:rsidRPr="00481FD6">
        <w:t xml:space="preserve">в следующей редакции:                                                                                                                                                            </w:t>
      </w:r>
    </w:p>
    <w:p w:rsidR="0042721C" w:rsidRPr="00481FD6" w:rsidRDefault="0042721C" w:rsidP="0042721C">
      <w:pPr>
        <w:framePr w:w="15312" w:hSpace="180" w:wrap="around" w:vAnchor="text" w:hAnchor="text" w:x="993" w:y="1"/>
        <w:suppressOverlap/>
        <w:rPr>
          <w:sz w:val="22"/>
          <w:szCs w:val="22"/>
        </w:rPr>
      </w:pPr>
      <w:r w:rsidRPr="00481FD6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>«</w:t>
      </w:r>
      <w:r>
        <w:rPr>
          <w:sz w:val="22"/>
          <w:szCs w:val="22"/>
        </w:rPr>
        <w:t>Приложение 10</w:t>
      </w:r>
    </w:p>
    <w:p w:rsidR="0042721C" w:rsidRPr="00481FD6" w:rsidRDefault="0042721C" w:rsidP="0042721C">
      <w:pPr>
        <w:framePr w:hSpace="180" w:wrap="around" w:vAnchor="text" w:hAnchor="text" w:x="-254" w:y="1"/>
        <w:ind w:firstLine="4947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2721C" w:rsidRPr="00481FD6" w:rsidRDefault="0042721C" w:rsidP="0042721C">
      <w:pPr>
        <w:framePr w:hSpace="180" w:wrap="around" w:vAnchor="text" w:hAnchor="text" w:x="-254" w:y="1"/>
        <w:ind w:firstLine="4947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2721C" w:rsidRPr="00481FD6" w:rsidRDefault="0042721C" w:rsidP="0042721C">
      <w:pPr>
        <w:framePr w:hSpace="180" w:wrap="around" w:vAnchor="text" w:hAnchor="text" w:x="-254" w:y="1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 w:rsidR="00B01A33"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 w:rsidR="00B01A33"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2721C" w:rsidRPr="00481FD6" w:rsidRDefault="0042721C" w:rsidP="0042721C">
      <w:pPr>
        <w:framePr w:hSpace="180" w:wrap="around" w:vAnchor="text" w:hAnchor="text" w:x="-254" w:y="1"/>
        <w:suppressAutoHyphens/>
        <w:ind w:left="-10"/>
        <w:suppressOverlap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2721C" w:rsidRPr="00481FD6" w:rsidRDefault="0042721C" w:rsidP="0042721C">
      <w:pPr>
        <w:framePr w:hSpace="180" w:wrap="around" w:vAnchor="text" w:hAnchor="text" w:x="-254" w:y="1"/>
        <w:tabs>
          <w:tab w:val="left" w:pos="990"/>
        </w:tabs>
        <w:suppressAutoHyphens/>
        <w:autoSpaceDE w:val="0"/>
        <w:ind w:left="-10"/>
        <w:suppressOverlap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 w:rsidR="00B01A33"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 w:rsidR="00B01A33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 w:rsidR="00B01A33"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2721C" w:rsidRPr="00481FD6" w:rsidRDefault="0042721C" w:rsidP="0042721C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850"/>
        <w:gridCol w:w="851"/>
        <w:gridCol w:w="850"/>
        <w:gridCol w:w="1559"/>
        <w:gridCol w:w="567"/>
        <w:gridCol w:w="709"/>
        <w:gridCol w:w="1418"/>
        <w:gridCol w:w="567"/>
        <w:gridCol w:w="851"/>
        <w:gridCol w:w="850"/>
        <w:gridCol w:w="850"/>
      </w:tblGrid>
      <w:tr w:rsidR="00B01A33" w:rsidRPr="00481FD6" w:rsidTr="00B513D3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B513D3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B513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B01A33" w:rsidRPr="00481FD6" w:rsidTr="00B513D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  <w:p w:rsidR="00CC6BC7" w:rsidRDefault="00CC6BC7" w:rsidP="00BD5F27">
            <w:pPr>
              <w:jc w:val="center"/>
              <w:rPr>
                <w:sz w:val="20"/>
                <w:szCs w:val="20"/>
              </w:rPr>
            </w:pPr>
          </w:p>
          <w:p w:rsidR="00B513D3" w:rsidRPr="00B513D3" w:rsidRDefault="00B513D3" w:rsidP="00BD5F27">
            <w:pPr>
              <w:jc w:val="center"/>
              <w:rPr>
                <w:sz w:val="20"/>
                <w:szCs w:val="20"/>
              </w:rPr>
            </w:pPr>
          </w:p>
          <w:p w:rsidR="00CC6BC7" w:rsidRPr="00B513D3" w:rsidRDefault="00CC6BC7" w:rsidP="00BD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  <w:lang w:val="en-US"/>
              </w:rPr>
              <w:t>1612</w:t>
            </w:r>
            <w:r w:rsidRPr="00B513D3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 w:righ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F764FE" w:rsidTr="00F40318">
        <w:trPr>
          <w:trHeight w:val="5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B01A33" w:rsidRPr="00481FD6" w:rsidTr="00B513D3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widowControl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2022,1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2022,1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481FD6" w:rsidRPr="00481FD6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481FD6" w:rsidRDefault="002E3606" w:rsidP="002E3606">
      <w:r w:rsidRPr="00481FD6">
        <w:t>Председатель Собрания депутатов-</w:t>
      </w:r>
    </w:p>
    <w:p w:rsidR="0049680F" w:rsidRPr="00481FD6" w:rsidRDefault="002E3606" w:rsidP="002E3606">
      <w:r w:rsidRPr="00481FD6">
        <w:t xml:space="preserve">Глава Синегорского сельского поселения                                                           Э.Г. Фатеева </w:t>
      </w:r>
    </w:p>
    <w:p w:rsidR="00326665" w:rsidRPr="00481FD6" w:rsidRDefault="00263684" w:rsidP="002E3606">
      <w:pPr>
        <w:rPr>
          <w:bCs/>
        </w:rPr>
      </w:pPr>
      <w:r>
        <w:rPr>
          <w:bCs/>
        </w:rPr>
        <w:t xml:space="preserve">21 </w:t>
      </w:r>
      <w:r w:rsidR="00AD7EDC" w:rsidRPr="00481FD6">
        <w:rPr>
          <w:bCs/>
        </w:rPr>
        <w:t xml:space="preserve">марта </w:t>
      </w:r>
      <w:r w:rsidR="00CC4F62" w:rsidRPr="00481FD6">
        <w:rPr>
          <w:bCs/>
        </w:rPr>
        <w:t>202</w:t>
      </w:r>
      <w:r w:rsidR="00B01A33">
        <w:rPr>
          <w:bCs/>
        </w:rPr>
        <w:t>4</w:t>
      </w:r>
      <w:r w:rsidR="00CC4F62" w:rsidRPr="00481FD6">
        <w:rPr>
          <w:bCs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F84F27">
          <w:pgSz w:w="16838" w:h="11906" w:orient="landscape" w:code="9"/>
          <w:pgMar w:top="567" w:right="820" w:bottom="142" w:left="1276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2E3606">
      <w:pgSz w:w="11906" w:h="16838" w:code="9"/>
      <w:pgMar w:top="284" w:right="567" w:bottom="794" w:left="113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35" w:rsidRDefault="00061735">
      <w:r>
        <w:separator/>
      </w:r>
    </w:p>
  </w:endnote>
  <w:endnote w:type="continuationSeparator" w:id="1">
    <w:p w:rsidR="00061735" w:rsidRDefault="0006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35" w:rsidRDefault="00061735">
      <w:r>
        <w:separator/>
      </w:r>
    </w:p>
  </w:footnote>
  <w:footnote w:type="continuationSeparator" w:id="1">
    <w:p w:rsidR="00061735" w:rsidRDefault="0006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C7" w:rsidRDefault="00D53814" w:rsidP="00174C44">
    <w:pPr>
      <w:framePr w:wrap="around" w:vAnchor="text" w:hAnchor="margin" w:xAlign="center" w:y="1"/>
    </w:pPr>
    <w:r>
      <w:fldChar w:fldCharType="begin"/>
    </w:r>
    <w:r w:rsidR="00CC6BC7">
      <w:instrText xml:space="preserve">PAGE  </w:instrText>
    </w:r>
    <w:r>
      <w:fldChar w:fldCharType="end"/>
    </w:r>
  </w:p>
  <w:p w:rsidR="00CC6BC7" w:rsidRDefault="00CC6B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735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8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20E77"/>
    <w:rsid w:val="00221493"/>
    <w:rsid w:val="00222C97"/>
    <w:rsid w:val="00225994"/>
    <w:rsid w:val="002271E7"/>
    <w:rsid w:val="00230446"/>
    <w:rsid w:val="00230B6D"/>
    <w:rsid w:val="0023131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684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7213"/>
    <w:rsid w:val="00360612"/>
    <w:rsid w:val="003607B2"/>
    <w:rsid w:val="00360AF1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E5B"/>
    <w:rsid w:val="004751BB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15C"/>
    <w:rsid w:val="00491203"/>
    <w:rsid w:val="0049218E"/>
    <w:rsid w:val="00492507"/>
    <w:rsid w:val="004929B9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7585"/>
    <w:rsid w:val="005709A8"/>
    <w:rsid w:val="005714C7"/>
    <w:rsid w:val="00572511"/>
    <w:rsid w:val="005728A2"/>
    <w:rsid w:val="00572CC5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4447"/>
    <w:rsid w:val="005F4E89"/>
    <w:rsid w:val="005F5115"/>
    <w:rsid w:val="005F69DA"/>
    <w:rsid w:val="005F6D60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4062A"/>
    <w:rsid w:val="0074096F"/>
    <w:rsid w:val="00744275"/>
    <w:rsid w:val="00745275"/>
    <w:rsid w:val="0074549F"/>
    <w:rsid w:val="00747EC2"/>
    <w:rsid w:val="007511B0"/>
    <w:rsid w:val="00751DB9"/>
    <w:rsid w:val="007544CC"/>
    <w:rsid w:val="00755C10"/>
    <w:rsid w:val="0075627B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C00DD"/>
    <w:rsid w:val="008C06AA"/>
    <w:rsid w:val="008C1198"/>
    <w:rsid w:val="008C125F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B29"/>
    <w:rsid w:val="008D1E1E"/>
    <w:rsid w:val="008D22C1"/>
    <w:rsid w:val="008D28B7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38C9"/>
    <w:rsid w:val="00A43CB6"/>
    <w:rsid w:val="00A44F8E"/>
    <w:rsid w:val="00A46960"/>
    <w:rsid w:val="00A469FB"/>
    <w:rsid w:val="00A51274"/>
    <w:rsid w:val="00A519A0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406"/>
    <w:rsid w:val="00A72C98"/>
    <w:rsid w:val="00A736EE"/>
    <w:rsid w:val="00A7408D"/>
    <w:rsid w:val="00A74579"/>
    <w:rsid w:val="00A75823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A85"/>
    <w:rsid w:val="00AB05B2"/>
    <w:rsid w:val="00AB07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702D"/>
    <w:rsid w:val="00B713B4"/>
    <w:rsid w:val="00B73251"/>
    <w:rsid w:val="00B73367"/>
    <w:rsid w:val="00B746BF"/>
    <w:rsid w:val="00B75879"/>
    <w:rsid w:val="00B77239"/>
    <w:rsid w:val="00B77BA1"/>
    <w:rsid w:val="00B77C10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395"/>
    <w:rsid w:val="00C3590A"/>
    <w:rsid w:val="00C35A13"/>
    <w:rsid w:val="00C35BB8"/>
    <w:rsid w:val="00C37417"/>
    <w:rsid w:val="00C37EB9"/>
    <w:rsid w:val="00C40567"/>
    <w:rsid w:val="00C409AC"/>
    <w:rsid w:val="00C41776"/>
    <w:rsid w:val="00C4194A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90EFF"/>
    <w:rsid w:val="00C90FAF"/>
    <w:rsid w:val="00C91078"/>
    <w:rsid w:val="00C9116E"/>
    <w:rsid w:val="00C91804"/>
    <w:rsid w:val="00C91EEF"/>
    <w:rsid w:val="00C91F2E"/>
    <w:rsid w:val="00C9389F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2669"/>
    <w:rsid w:val="00CD2833"/>
    <w:rsid w:val="00CD36C7"/>
    <w:rsid w:val="00CD41AF"/>
    <w:rsid w:val="00CD52C0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24B1"/>
    <w:rsid w:val="00D53336"/>
    <w:rsid w:val="00D53814"/>
    <w:rsid w:val="00D54843"/>
    <w:rsid w:val="00D550EE"/>
    <w:rsid w:val="00D56048"/>
    <w:rsid w:val="00D57679"/>
    <w:rsid w:val="00D57885"/>
    <w:rsid w:val="00D6041A"/>
    <w:rsid w:val="00D6097A"/>
    <w:rsid w:val="00D60CDD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6C5"/>
    <w:rsid w:val="00ED581C"/>
    <w:rsid w:val="00ED5CE7"/>
    <w:rsid w:val="00ED60B7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A5F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b">
    <w:name w:val="Hyperlink"/>
    <w:uiPriority w:val="99"/>
    <w:unhideWhenUsed/>
    <w:rsid w:val="0047303B"/>
    <w:rPr>
      <w:color w:val="0000FF"/>
      <w:u w:val="single"/>
    </w:rPr>
  </w:style>
  <w:style w:type="paragraph" w:styleId="ac">
    <w:name w:val="Document Map"/>
    <w:basedOn w:val="a"/>
    <w:link w:val="ad"/>
    <w:rsid w:val="00155DA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55DA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30107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301075"/>
    <w:rPr>
      <w:sz w:val="28"/>
    </w:rPr>
  </w:style>
  <w:style w:type="paragraph" w:styleId="af0">
    <w:name w:val="No Spacing"/>
    <w:uiPriority w:val="1"/>
    <w:qFormat/>
    <w:rsid w:val="00F92EDB"/>
    <w:rPr>
      <w:sz w:val="24"/>
      <w:szCs w:val="24"/>
    </w:rPr>
  </w:style>
  <w:style w:type="paragraph" w:styleId="af1">
    <w:name w:val="List Paragraph"/>
    <w:basedOn w:val="a"/>
    <w:uiPriority w:val="34"/>
    <w:qFormat/>
    <w:rsid w:val="00CC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B4E21B23391F32581D6DA42864D4544F52E8849E91ADAC20F6A741F8F2E6CCC80AFA340B88EBF278BBAq9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44</Pages>
  <Words>11262</Words>
  <Characters>64198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75310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6</cp:revision>
  <cp:lastPrinted>2023-03-15T16:34:00Z</cp:lastPrinted>
  <dcterms:created xsi:type="dcterms:W3CDTF">2024-03-11T06:28:00Z</dcterms:created>
  <dcterms:modified xsi:type="dcterms:W3CDTF">2024-03-21T12:36:00Z</dcterms:modified>
</cp:coreProperties>
</file>