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D6" w:rsidRDefault="00D30CD6" w:rsidP="00D30CD6">
      <w:pPr>
        <w:spacing w:after="173" w:line="323" w:lineRule="atLeast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color w:val="424D5A"/>
          <w:kern w:val="36"/>
          <w:sz w:val="36"/>
          <w:szCs w:val="27"/>
          <w:lang w:eastAsia="ru-RU"/>
        </w:rPr>
      </w:pPr>
      <w:r w:rsidRPr="00D30CD6">
        <w:rPr>
          <w:rFonts w:ascii="Times New Roman" w:eastAsia="Times New Roman" w:hAnsi="Times New Roman" w:cs="Times New Roman"/>
          <w:b/>
          <w:color w:val="424D5A"/>
          <w:kern w:val="36"/>
          <w:sz w:val="36"/>
          <w:szCs w:val="27"/>
          <w:lang w:eastAsia="ru-RU"/>
        </w:rPr>
        <w:t>Уважаемые жители поселения!</w:t>
      </w:r>
    </w:p>
    <w:p w:rsidR="00D30CD6" w:rsidRPr="00D30CD6" w:rsidRDefault="00D30CD6" w:rsidP="00D30CD6">
      <w:pPr>
        <w:spacing w:after="173" w:line="323" w:lineRule="atLeast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color w:val="424D5A"/>
          <w:kern w:val="36"/>
          <w:sz w:val="36"/>
          <w:szCs w:val="27"/>
          <w:lang w:eastAsia="ru-RU"/>
        </w:rPr>
      </w:pPr>
    </w:p>
    <w:p w:rsidR="00D30CD6" w:rsidRDefault="00D30CD6" w:rsidP="00D30CD6">
      <w:pPr>
        <w:spacing w:after="0" w:line="183" w:lineRule="atLeast"/>
        <w:ind w:left="-851" w:right="-143"/>
        <w:jc w:val="center"/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4762500" cy="3569970"/>
            <wp:effectExtent l="19050" t="0" r="0" b="0"/>
            <wp:docPr id="1" name="Рисунок 1" descr="Уважаемые белокалитвинц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белокалитвинцы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D6" w:rsidRDefault="00D30CD6" w:rsidP="00D30CD6">
      <w:pPr>
        <w:spacing w:after="0" w:line="183" w:lineRule="atLeast"/>
        <w:ind w:left="-851" w:right="-143"/>
        <w:jc w:val="center"/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</w:pPr>
    </w:p>
    <w:p w:rsidR="00D30CD6" w:rsidRDefault="00D30CD6" w:rsidP="00D30CD6">
      <w:pPr>
        <w:spacing w:after="0" w:line="183" w:lineRule="atLeast"/>
        <w:ind w:left="-851" w:right="-143"/>
        <w:jc w:val="center"/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</w:pPr>
      <w:r w:rsidRPr="00D30CD6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r w:rsidRPr="00D30CD6"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>В рамках повышения доступности универсальных услуг связи с ноября 2019 года ПАО «</w:t>
      </w:r>
      <w:proofErr w:type="spellStart"/>
      <w:r w:rsidRPr="00D30CD6"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>Ростелеком</w:t>
      </w:r>
      <w:proofErr w:type="spellEnd"/>
      <w:r w:rsidRPr="00D30CD6"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>» отменена плата за телефонные звонки на все номера мобильных телефонов Российской Федерации с таксофонов универсальных услуг связи.</w:t>
      </w:r>
      <w:r w:rsidRPr="00D30CD6"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br/>
        <w:t xml:space="preserve">Кроме того с 1 июня 2019 года появилась возможность </w:t>
      </w:r>
    </w:p>
    <w:p w:rsidR="00D30CD6" w:rsidRPr="00D30CD6" w:rsidRDefault="00D30CD6" w:rsidP="00D30CD6">
      <w:pPr>
        <w:spacing w:after="0" w:line="183" w:lineRule="atLeast"/>
        <w:ind w:left="-851" w:right="-143"/>
        <w:jc w:val="center"/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</w:pPr>
      <w:r w:rsidRPr="00D30CD6"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>позвонить с </w:t>
      </w:r>
      <w:r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 xml:space="preserve">таксофона универсальных услуг связи на </w:t>
      </w:r>
      <w:r w:rsidRPr="00D30CD6"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>любой стационарный телефон бесплатно без таксофонной карты</w:t>
      </w:r>
      <w:r>
        <w:rPr>
          <w:rFonts w:ascii="Times New Roman" w:eastAsia="Times New Roman" w:hAnsi="Times New Roman" w:cs="Times New Roman"/>
          <w:color w:val="333333"/>
          <w:sz w:val="28"/>
          <w:szCs w:val="15"/>
          <w:lang w:eastAsia="ru-RU"/>
        </w:rPr>
        <w:t>.</w:t>
      </w:r>
    </w:p>
    <w:sectPr w:rsidR="00D30CD6" w:rsidRPr="00D30CD6" w:rsidSect="00EC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30CD6"/>
    <w:rsid w:val="00D30CD6"/>
    <w:rsid w:val="00E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9"/>
  </w:style>
  <w:style w:type="paragraph" w:styleId="1">
    <w:name w:val="heading 1"/>
    <w:basedOn w:val="a"/>
    <w:link w:val="10"/>
    <w:uiPriority w:val="9"/>
    <w:qFormat/>
    <w:rsid w:val="00D30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2020-01-13T05:41:00Z</dcterms:created>
  <dcterms:modified xsi:type="dcterms:W3CDTF">2020-01-13T05:48:00Z</dcterms:modified>
</cp:coreProperties>
</file>