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00" w:rsidRPr="00695C00" w:rsidRDefault="00695C00" w:rsidP="00695C00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00" w:rsidRPr="00695C00" w:rsidRDefault="00695C00" w:rsidP="00695C0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РОССИЙСКАЯ ФЕДЕРАЦИЯ</w:t>
      </w:r>
    </w:p>
    <w:p w:rsidR="00695C00" w:rsidRPr="00695C00" w:rsidRDefault="00695C00" w:rsidP="00695C0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РОСТОВСКАЯ ОБЛАСТЬ</w:t>
      </w:r>
    </w:p>
    <w:p w:rsidR="00695C00" w:rsidRPr="00695C00" w:rsidRDefault="00695C00" w:rsidP="00695C00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  <w:t>МУНИЦИПАЛЬНОЕ ОБРАЗОВАНИЕ</w:t>
      </w:r>
    </w:p>
    <w:p w:rsidR="00695C00" w:rsidRPr="00695C00" w:rsidRDefault="00695C00" w:rsidP="00695C00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  <w:t xml:space="preserve"> «СИНЕГОРСКОЕ СЕЛЬСКОЕ ПОСЕЛЕНИЕ»</w:t>
      </w: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АДМИНИСТРАЦИЯ СИНЕГОРСКОГО СЕЛЬСКОГО ПОСЕЛЕНИЯ</w:t>
      </w:r>
    </w:p>
    <w:p w:rsidR="00695C00" w:rsidRPr="00695C00" w:rsidRDefault="00695C00" w:rsidP="00695C0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95C0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ПОСТАНОВЛЕНИЕ</w:t>
      </w:r>
    </w:p>
    <w:p w:rsidR="00695C00" w:rsidRPr="00695C00" w:rsidRDefault="002812E6" w:rsidP="00695C0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20.06.2024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№ 109</w:t>
      </w:r>
    </w:p>
    <w:p w:rsidR="00695C00" w:rsidRPr="00695C00" w:rsidRDefault="00695C00" w:rsidP="00695C0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695C00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0"/>
          <w:lang w:eastAsia="zh-CN"/>
        </w:rPr>
        <w:t>.С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0"/>
          <w:lang w:eastAsia="zh-CN"/>
        </w:rPr>
        <w:t>инегорский</w:t>
      </w:r>
      <w:proofErr w:type="spellEnd"/>
    </w:p>
    <w:p w:rsidR="00695C00" w:rsidRPr="00695C00" w:rsidRDefault="00695C00" w:rsidP="00695C00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95C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Положения о комиссии по подготовке проекта Правил землепользования и застройки </w:t>
      </w:r>
      <w:r w:rsidRPr="00695C0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Синегорского сельского поселения</w:t>
      </w: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создания условий для устойчивого развития территорий Синегорского сельского поселения,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участков и объектов капитального строительства, руководствуясь Федеральным законом от 06.10.2003 № 131-ФЗ «Об общих принципах организации местного самоуправления в Российской Федерации», статьями 24, 31-33, 39, 40, 46 Градостроительного кодекса Российской Федерации, Администрация Синегорского сельского поселения </w:t>
      </w:r>
      <w:r w:rsidRPr="00695C0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zh-CN"/>
        </w:rPr>
        <w:t>постановляет: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деятельности комиссии по подготовке проекта Правил землепользования и застройки Синегорского сельского поселения (приложение 1).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подготовке проекта Правил землепользования и застройки Синегорского сельского поселения (приложение 2).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Постановление Администрации Синегорского сельского поселения от 12.10.2022 № 167 «Об утверждении Положения о комиссии по вопросам 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землепользования и застройки Синегорского сельского поселения».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Постановление Администрации Синегорского сельского поселения от 18.08.2023 № 169 «О внесении изменений в постановление Администрации Синегорского сельского поселения от 12.10.2022 № 167».</w:t>
      </w:r>
    </w:p>
    <w:p w:rsidR="00695C00" w:rsidRPr="00695C00" w:rsidRDefault="00695C00" w:rsidP="00695C00">
      <w:pPr>
        <w:tabs>
          <w:tab w:val="left" w:pos="709"/>
          <w:tab w:val="left" w:pos="851"/>
          <w:tab w:val="left" w:pos="993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ab/>
      </w: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4. Постановление вступает в силу после его официального опубликования.</w:t>
      </w:r>
    </w:p>
    <w:p w:rsidR="00695C00" w:rsidRPr="00695C00" w:rsidRDefault="00695C00" w:rsidP="00695C00">
      <w:pPr>
        <w:tabs>
          <w:tab w:val="left" w:pos="709"/>
          <w:tab w:val="left" w:pos="851"/>
          <w:tab w:val="left" w:pos="993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5. </w:t>
      </w:r>
      <w:proofErr w:type="gramStart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Глава Администрации </w:t>
      </w:r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Синегорского сельского поселения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</w:t>
      </w:r>
      <w:proofErr w:type="spell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А.В.Гвозденко</w:t>
      </w:r>
      <w:proofErr w:type="spellEnd"/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12E6" w:rsidRDefault="002812E6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12E6" w:rsidRPr="00695C00" w:rsidRDefault="002812E6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1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Синегорского сельского</w:t>
      </w: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поселения</w:t>
      </w:r>
    </w:p>
    <w:p w:rsidR="00695C00" w:rsidRPr="00695C00" w:rsidRDefault="002812E6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20.06.2024 № 109</w:t>
      </w: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комиссии по подготовке проекта Правил землепользования</w:t>
      </w: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застройки Синегорского сельского поселения</w:t>
      </w: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00" w:rsidRPr="00695C00" w:rsidRDefault="00695C00" w:rsidP="002812E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деятельности комиссии по подготовке проекта Правил землепользования и застройки Синегорского сельского поселения (далее – комиссия).</w:t>
      </w:r>
    </w:p>
    <w:p w:rsidR="00695C00" w:rsidRPr="00695C00" w:rsidRDefault="00695C00" w:rsidP="002812E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постоянно действующим коллегиальным органом.</w:t>
      </w:r>
    </w:p>
    <w:bookmarkEnd w:id="0"/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в своей деятельности руководствуется законодательством Российской Федерации, субъекта Российской Федерации, нормативными правовыми актами органов местного самоуправления, региональными и местными нормативами градостроительного проектирования, техническими регламентами, действующими СНиП, СП, СанПиН и другими нормативными документами, Правилами землепользования и застройки Синегорского сельского поселения, а также настоящим Положением.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комиссии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комиссии являются: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2.1. Рассмотрение проекта Правил землепользования и застройки Синегорского сельского поселения (далее – Правила) и проектов по внесению в них изменений.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2.2. Рассмотрение заявлений физических и (или) юридических лиц с предложениями о внесении изменений в Правила и подготовка заключений о внесении изменений в Правила.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2.3. Рассмотрение проекта генерального плана муниципального образования «</w:t>
      </w:r>
      <w:proofErr w:type="spell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Синегорское</w:t>
      </w:r>
      <w:proofErr w:type="spellEnd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(далее - Генеральный план) и проектов по внесению изменений в Генеральный план.</w:t>
      </w:r>
    </w:p>
    <w:p w:rsidR="00695C00" w:rsidRPr="00695C00" w:rsidRDefault="00695C00" w:rsidP="00695C0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Рассмотрение заявлений физических и (или) юридических лиц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695C00" w:rsidRPr="00695C00" w:rsidRDefault="00695C00" w:rsidP="00695C0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2.5. Подготовка заключений, в которых содержатся рекомендации о предоставлении разрешений на условно разрешенный вид использования земельных участков или объектов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с указанием причин принятого решения.  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2.6. Рассмотрение иных вопросов градостроительной деятельности, отнесенных законодательством Российской Федерации или законодательством Ростовской области к компетенции органов местного самоуправления.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2.7. Организация проведения публичных слушаний: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по проекту Правил и проектам по внесению в них изменений;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по проекту Генерального плана и проектам по внесению в него изменений;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документации по планировке территории или по документации по внесению изменений в документацию по планировке территории;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по проектам решений о предоставлении разрешений на условно разрешенный вид использования земельного участка или объектов капитального строительства;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2.8. 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и рассмотрение заявлений (обращений, рекомендаций, предложений и замечаний) участников публичных слушаний по внесению изменений в Генеральный план, Правила, документацию по планировке территории; по предоставлению разрешений на условно разрешенные виды использования земельных участков или объектов капитального строительства или по предоставлению разрешений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заключений, протоколов, рекомендаций и иных документов, предусмотренных действующим законодательством.</w:t>
      </w:r>
      <w:r w:rsidRPr="00695C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имеет право: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Выступать в установленном порядке</w:t>
      </w:r>
      <w:r w:rsidRPr="00695C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при их проведении.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Запрашивать в установленном порядке у органов государственной власти, органов местного самоуправления необходимую для работы комиссии информацию, документацию и материалы в соответствии с ее компетенцией для реализации возложенных на нее функций.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Комиссия в оперативном порядке, в случае необходимости, вправе приглашать средства массовой информации, представителей органов государственной власти, органов местного самоуправления, общественных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объединений, иных организаций, предприятий и учреждений, физических и юридических лиц, имеющих отношение к рассматриваемым на комиссии вопросам.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вправе вступать в переписку с заинтересованными лицами.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Порядок работы комиссии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свою деятельность в форме заседаний.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Председатель комиссии, а в его отсутствие -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принятых комиссией решений.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проводятся по мере необходимости. Решение о проведении первого заседания принимается главой Администрации Синегорского сельского поселения, решения о проведении последующих заседаний принимаются на заседаниях комиссий.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Заседание комиссии является правомочным при участии в нем не менее двух третей от установленного числа членов комиссии.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Решения комиссии принимаются большинством голосов от числа их членов, присутствующих на заседании. </w:t>
      </w:r>
    </w:p>
    <w:p w:rsidR="00695C00" w:rsidRPr="00695C00" w:rsidRDefault="00695C00" w:rsidP="0069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 заседании комиссии ведется протокол, в котором фиксируются внесенные на рассмотрение комиссии вопросы, а также принятые по ним решения.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Решения комиссии в течени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оформляются протоколами, которые подписываются всеми членами комиссии, присутствующими на заседании, и утверждаются председателем комиссии.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Протоколы заседания комиссии, протоколы проведения публичных слушаний, рекомендации комиссии и иные необходимые документы приобщаются к заключению о результатах публичных слушаний, брошюруются в дела и хранятся в архиве Синегорского сельского поселения (в течени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Генерального плана и Правил).</w:t>
      </w:r>
    </w:p>
    <w:p w:rsidR="00695C00" w:rsidRPr="00695C00" w:rsidRDefault="00695C00" w:rsidP="00695C00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Заведующий сектором </w:t>
      </w:r>
      <w:proofErr w:type="gramStart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общим и земельно-правовым                                              </w:t>
      </w:r>
      <w:proofErr w:type="spellStart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С.П.Беседина</w:t>
      </w:r>
      <w:proofErr w:type="spellEnd"/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2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Синегорского сельского</w:t>
      </w: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поселения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_________2024 № ___</w:t>
      </w:r>
    </w:p>
    <w:p w:rsidR="00695C00" w:rsidRPr="00695C00" w:rsidRDefault="00695C00" w:rsidP="00695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комиссии</w:t>
      </w:r>
    </w:p>
    <w:p w:rsidR="00695C00" w:rsidRPr="00695C00" w:rsidRDefault="00695C00" w:rsidP="00695C00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подготовке проекта Правил землепользования и </w:t>
      </w:r>
    </w:p>
    <w:p w:rsidR="00695C00" w:rsidRPr="00695C00" w:rsidRDefault="00695C00" w:rsidP="00695C00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застройки </w:t>
      </w: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Синегорского сельского</w:t>
      </w:r>
      <w:r w:rsidRPr="00695C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поселения</w:t>
      </w: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95C00" w:rsidRPr="00695C00" w:rsidRDefault="00695C00" w:rsidP="00695C00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6662"/>
      </w:tblGrid>
      <w:tr w:rsidR="00695C00" w:rsidRPr="00695C00" w:rsidTr="00CD2E41">
        <w:trPr>
          <w:trHeight w:val="426"/>
        </w:trPr>
        <w:tc>
          <w:tcPr>
            <w:tcW w:w="9396" w:type="dxa"/>
            <w:gridSpan w:val="2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комиссии:</w:t>
            </w:r>
          </w:p>
        </w:tc>
      </w:tr>
      <w:tr w:rsidR="00695C00" w:rsidRPr="00695C00" w:rsidTr="00CD2E41">
        <w:trPr>
          <w:trHeight w:val="635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Гвозденко А.В.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глава Администрации Синегорского сельского</w:t>
            </w:r>
            <w:r w:rsidRPr="00695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поселения</w:t>
            </w:r>
          </w:p>
        </w:tc>
      </w:tr>
      <w:tr w:rsidR="00695C00" w:rsidRPr="00695C00" w:rsidTr="00CD2E41">
        <w:tc>
          <w:tcPr>
            <w:tcW w:w="9396" w:type="dxa"/>
            <w:gridSpan w:val="2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председателя комиссии:</w:t>
            </w:r>
          </w:p>
        </w:tc>
      </w:tr>
      <w:tr w:rsidR="00695C00" w:rsidRPr="00695C00" w:rsidTr="00CD2E41">
        <w:trPr>
          <w:trHeight w:val="635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Беседина С.П.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заведующий сектором по общим и земельно-правовым вопросам Администрации Синегорского сельского поселения</w:t>
            </w:r>
          </w:p>
        </w:tc>
      </w:tr>
      <w:tr w:rsidR="00695C00" w:rsidRPr="00695C00" w:rsidTr="00CD2E41">
        <w:tc>
          <w:tcPr>
            <w:tcW w:w="9396" w:type="dxa"/>
            <w:gridSpan w:val="2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комиссии: </w:t>
            </w:r>
          </w:p>
        </w:tc>
      </w:tr>
      <w:tr w:rsidR="00695C00" w:rsidRPr="00695C00" w:rsidTr="00CD2E41">
        <w:trPr>
          <w:trHeight w:val="483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Вишневецкая</w:t>
            </w:r>
            <w:proofErr w:type="spellEnd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Елена Анатольевна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старший инспектор сектора по общим и земельно-правовым вопросам Администрации Синегорского сельского поселения</w:t>
            </w:r>
          </w:p>
        </w:tc>
      </w:tr>
      <w:tr w:rsidR="00695C00" w:rsidRPr="00695C00" w:rsidTr="00CD2E41">
        <w:tc>
          <w:tcPr>
            <w:tcW w:w="9396" w:type="dxa"/>
            <w:gridSpan w:val="2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</w:tr>
      <w:tr w:rsidR="00695C00" w:rsidRPr="00695C00" w:rsidTr="00CD2E41">
        <w:trPr>
          <w:trHeight w:val="595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Суржикова</w:t>
            </w:r>
            <w:proofErr w:type="spellEnd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Т.А.</w:t>
            </w:r>
          </w:p>
          <w:p w:rsidR="00695C00" w:rsidRPr="00695C00" w:rsidRDefault="00695C00" w:rsidP="00695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заведующий сектором муниципального хозяйства Администрации Синегорского сельского поселения</w:t>
            </w:r>
          </w:p>
        </w:tc>
      </w:tr>
      <w:tr w:rsidR="00695C00" w:rsidRPr="00695C00" w:rsidTr="00CD2E41">
        <w:trPr>
          <w:trHeight w:val="595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Туриянская</w:t>
            </w:r>
            <w:proofErr w:type="spellEnd"/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С.А.           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ведущий специалист сектора муниципального хозяйства Администрации Синегорского сельского поселения</w:t>
            </w:r>
          </w:p>
        </w:tc>
      </w:tr>
      <w:tr w:rsidR="00695C00" w:rsidRPr="00695C00" w:rsidTr="00CD2E41">
        <w:trPr>
          <w:trHeight w:val="595"/>
        </w:trPr>
        <w:tc>
          <w:tcPr>
            <w:tcW w:w="2734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Депутаты Собрания депутатов Синегорского сельского поселения</w:t>
            </w:r>
          </w:p>
        </w:tc>
        <w:tc>
          <w:tcPr>
            <w:tcW w:w="6662" w:type="dxa"/>
          </w:tcPr>
          <w:p w:rsidR="00695C00" w:rsidRPr="00695C00" w:rsidRDefault="00695C00" w:rsidP="00695C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 согласованию</w:t>
            </w:r>
          </w:p>
        </w:tc>
      </w:tr>
    </w:tbl>
    <w:p w:rsidR="00695C00" w:rsidRPr="00695C00" w:rsidRDefault="00695C00" w:rsidP="00695C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работе комиссии могут привлекаться (по согласованию) депутаты Законодательного Собрания Ростовской области, представители Правительства Ростовской области и иных органов исполнительной власти Ростовской области, представители Администрации </w:t>
      </w:r>
      <w:proofErr w:type="spell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Белокалитвинского</w:t>
      </w:r>
      <w:proofErr w:type="spellEnd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муниципальных предприятий, учреждений, а также заинтересованных юридических и физических лиц</w:t>
      </w:r>
      <w:proofErr w:type="gramStart"/>
      <w:r w:rsidRPr="00695C00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Заведующий сектором </w:t>
      </w:r>
      <w:proofErr w:type="gramStart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95C00" w:rsidRPr="00695C00" w:rsidRDefault="00695C00" w:rsidP="00695C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общим и земельно-правовым                                              </w:t>
      </w:r>
      <w:proofErr w:type="spellStart"/>
      <w:r w:rsidRPr="00695C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С.П.Беседина</w:t>
      </w:r>
      <w:proofErr w:type="spellEnd"/>
    </w:p>
    <w:p w:rsidR="00695C00" w:rsidRPr="00695C00" w:rsidRDefault="00695C00" w:rsidP="00695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011B" w:rsidRDefault="0085011B"/>
    <w:sectPr w:rsidR="0085011B" w:rsidSect="0080173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C8" w:rsidRDefault="003407C8">
      <w:pPr>
        <w:spacing w:after="0" w:line="240" w:lineRule="auto"/>
      </w:pPr>
      <w:r>
        <w:separator/>
      </w:r>
    </w:p>
  </w:endnote>
  <w:endnote w:type="continuationSeparator" w:id="0">
    <w:p w:rsidR="003407C8" w:rsidRDefault="003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Default="00695C00" w:rsidP="00D64601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2812E6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812E6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:rsidR="00D64601" w:rsidRDefault="003407C8" w:rsidP="00D64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C8" w:rsidRDefault="003407C8">
      <w:pPr>
        <w:spacing w:after="0" w:line="240" w:lineRule="auto"/>
      </w:pPr>
      <w:r>
        <w:separator/>
      </w:r>
    </w:p>
  </w:footnote>
  <w:footnote w:type="continuationSeparator" w:id="0">
    <w:p w:rsidR="003407C8" w:rsidRDefault="003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695C00" w:rsidP="00D64601">
    <w:pPr>
      <w:pStyle w:val="a3"/>
      <w:jc w:val="center"/>
      <w:rPr>
        <w:sz w:val="24"/>
      </w:rPr>
    </w:pPr>
    <w:r w:rsidRPr="00BB16B9">
      <w:rPr>
        <w:sz w:val="24"/>
      </w:rPr>
      <w:fldChar w:fldCharType="begin"/>
    </w:r>
    <w:r w:rsidRPr="00BB16B9">
      <w:rPr>
        <w:sz w:val="24"/>
      </w:rPr>
      <w:instrText>PAGE   \* MERGEFORMAT</w:instrText>
    </w:r>
    <w:r w:rsidRPr="00BB16B9">
      <w:rPr>
        <w:sz w:val="24"/>
      </w:rPr>
      <w:fldChar w:fldCharType="separate"/>
    </w:r>
    <w:r w:rsidR="002812E6">
      <w:rPr>
        <w:noProof/>
        <w:sz w:val="24"/>
      </w:rPr>
      <w:t>3</w:t>
    </w:r>
    <w:r w:rsidRPr="00BB16B9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695C00" w:rsidP="00582F09">
    <w:pPr>
      <w:pStyle w:val="a3"/>
      <w:jc w:val="right"/>
      <w:rPr>
        <w:sz w:val="22"/>
      </w:rPr>
    </w:pPr>
    <w:r w:rsidRPr="00582F09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4E28"/>
    <w:multiLevelType w:val="multilevel"/>
    <w:tmpl w:val="0FAA513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C"/>
    <w:rsid w:val="002812E6"/>
    <w:rsid w:val="003407C8"/>
    <w:rsid w:val="00695C00"/>
    <w:rsid w:val="0085011B"/>
    <w:rsid w:val="00E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5C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95C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95C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695C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9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5C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95C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95C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695C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9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cp:lastPrinted>2024-06-20T05:58:00Z</cp:lastPrinted>
  <dcterms:created xsi:type="dcterms:W3CDTF">2024-06-20T05:38:00Z</dcterms:created>
  <dcterms:modified xsi:type="dcterms:W3CDTF">2024-06-20T05:59:00Z</dcterms:modified>
</cp:coreProperties>
</file>