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55" w:rsidRPr="006A1857" w:rsidRDefault="005F0555" w:rsidP="00ED5EC7">
      <w:pPr>
        <w:pStyle w:val="a3"/>
        <w:ind w:hanging="284"/>
        <w:rPr>
          <w:rFonts w:cs="Times New Roman"/>
          <w:b w:val="0"/>
          <w:noProof/>
          <w:sz w:val="28"/>
          <w:szCs w:val="28"/>
        </w:rPr>
      </w:pPr>
      <w:r w:rsidRPr="006A1857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A5" w:rsidRPr="00D179A3" w:rsidRDefault="00F04AA5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ОБРАЗОВАНИЕ</w:t>
      </w:r>
    </w:p>
    <w:p w:rsidR="00F04AA5" w:rsidRPr="00D179A3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«СИНЕГОРСКОЕ СЕЛЬСКОЕ ПОСЕЛЕНИЕ»</w:t>
      </w:r>
    </w:p>
    <w:p w:rsidR="00F04AA5" w:rsidRDefault="00F04AA5" w:rsidP="00F04AA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179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СИНЕГОРСКОГО СЕЛЬСКОГО ПОСЕЛЕНИЯ</w:t>
      </w:r>
    </w:p>
    <w:p w:rsidR="00F04AA5" w:rsidRPr="00D179A3" w:rsidRDefault="00F04AA5" w:rsidP="00F1044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23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8941DA" w:rsidRDefault="008941DA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E4E" w:rsidRDefault="008941DA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990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48C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23DEB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762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04AA5"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240</w:t>
      </w:r>
    </w:p>
    <w:p w:rsidR="00314C70" w:rsidRPr="00D179A3" w:rsidRDefault="00314C70" w:rsidP="00F04A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55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D179A3">
        <w:rPr>
          <w:rFonts w:ascii="Times New Roman" w:eastAsia="Times New Roman" w:hAnsi="Times New Roman" w:cs="Times New Roman"/>
          <w:color w:val="000000"/>
          <w:sz w:val="28"/>
          <w:szCs w:val="28"/>
        </w:rPr>
        <w:t>инегорский</w:t>
      </w:r>
    </w:p>
    <w:p w:rsidR="00F04AA5" w:rsidRPr="00F04AA5" w:rsidRDefault="00F04AA5" w:rsidP="00F04AA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5F0555" w:rsidRPr="006A1857" w:rsidTr="00F04AA5">
        <w:trPr>
          <w:trHeight w:val="533"/>
        </w:trPr>
        <w:tc>
          <w:tcPr>
            <w:tcW w:w="10207" w:type="dxa"/>
            <w:hideMark/>
          </w:tcPr>
          <w:p w:rsidR="005F0555" w:rsidRPr="00F04AA5" w:rsidRDefault="007E4080" w:rsidP="00411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1116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Синегорского сельского поселения от 26.10.2018 № 156</w:t>
            </w:r>
          </w:p>
        </w:tc>
      </w:tr>
    </w:tbl>
    <w:p w:rsidR="00ED5EC7" w:rsidRDefault="005F0555" w:rsidP="00ED5EC7">
      <w:pPr>
        <w:jc w:val="both"/>
        <w:rPr>
          <w:rFonts w:ascii="Times New Roman" w:eastAsia="Times New Roman" w:hAnsi="Times New Roman" w:cs="Times New Roman"/>
          <w:b/>
          <w:spacing w:val="60"/>
          <w:kern w:val="28"/>
          <w:sz w:val="28"/>
          <w:szCs w:val="28"/>
        </w:rPr>
      </w:pPr>
      <w:r w:rsidRPr="006A185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В целях совершенствования оплаты труда работников, осуществляющих техническое обеспечение деятельности орган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а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 xml:space="preserve"> местного самоуправления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, во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исполнение решения Собрания депутатов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от</w:t>
      </w:r>
      <w:r w:rsidR="0041116C" w:rsidRPr="00942F94">
        <w:rPr>
          <w:rFonts w:ascii="Times New Roman" w:hAnsi="Times New Roman" w:cs="Times New Roman"/>
          <w:sz w:val="28"/>
          <w:szCs w:val="28"/>
        </w:rPr>
        <w:t xml:space="preserve"> </w:t>
      </w:r>
      <w:r w:rsidR="0041116C">
        <w:rPr>
          <w:rFonts w:ascii="Times New Roman" w:hAnsi="Times New Roman" w:cs="Times New Roman"/>
          <w:bCs/>
          <w:sz w:val="28"/>
          <w:szCs w:val="28"/>
        </w:rPr>
        <w:t>28.12.2021</w:t>
      </w:r>
      <w:r w:rsidR="0041116C" w:rsidRPr="00942F9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41116C">
        <w:rPr>
          <w:rFonts w:ascii="Times New Roman" w:hAnsi="Times New Roman" w:cs="Times New Roman"/>
          <w:bCs/>
          <w:sz w:val="28"/>
          <w:szCs w:val="28"/>
        </w:rPr>
        <w:t>19</w:t>
      </w:r>
      <w:r w:rsidR="0041116C" w:rsidRPr="00942F9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1116C" w:rsidRPr="00942F9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работников, осуществляющих техническое обеспечение деятельности органов местного самоуправления  </w:t>
      </w:r>
      <w:r w:rsidR="0041116C" w:rsidRPr="00263283">
        <w:rPr>
          <w:rFonts w:ascii="Times New Roman" w:hAnsi="Times New Roman" w:cs="Times New Roman"/>
          <w:sz w:val="28"/>
          <w:szCs w:val="28"/>
        </w:rPr>
        <w:t>Синегорского</w:t>
      </w:r>
      <w:r w:rsidR="0041116C" w:rsidRPr="00942F9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,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 соответствии с постановлением Администрации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</w:rPr>
        <w:t>20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.08.2024 №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58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«Об увеличении</w:t>
      </w:r>
      <w:proofErr w:type="gramEnd"/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(индексации) должностных окладов, ставок заработной платы работников муниципальных учреждений, технического  и обслуживающего персонала органов местного самоуправления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»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(в редакции от</w:t>
      </w:r>
      <w:r w:rsidR="0041116C" w:rsidRPr="0041116C">
        <w:rPr>
          <w:rFonts w:ascii="Times New Roman" w:eastAsia="Times New Roman" w:hAnsi="Times New Roman" w:cs="Times New Roman"/>
          <w:b/>
          <w:spacing w:val="60"/>
          <w:kern w:val="28"/>
          <w:sz w:val="28"/>
          <w:szCs w:val="28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>03.09.2024 № 167)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Администрация </w:t>
      </w:r>
      <w:r w:rsidR="0041116C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b/>
          <w:spacing w:val="60"/>
          <w:kern w:val="28"/>
          <w:sz w:val="28"/>
          <w:szCs w:val="28"/>
        </w:rPr>
        <w:t>постановляет:</w:t>
      </w:r>
    </w:p>
    <w:p w:rsidR="0041116C" w:rsidRPr="0041116C" w:rsidRDefault="0041116C" w:rsidP="00ED5E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ED5E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4"/>
        </w:rPr>
        <w:t xml:space="preserve">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26.10.2018 № 156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Администрации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», изложив приложение в редакции согласно приложению, к настоящему постановлению.</w:t>
      </w:r>
    </w:p>
    <w:p w:rsidR="0041116C" w:rsidRPr="0041116C" w:rsidRDefault="0041116C" w:rsidP="00ED5EC7">
      <w:pPr>
        <w:spacing w:after="0" w:line="240" w:lineRule="auto"/>
        <w:ind w:right="195" w:firstLine="3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 с 01 января 2025 года и подлежит официальному опубликованию.</w:t>
      </w:r>
    </w:p>
    <w:p w:rsidR="0041116C" w:rsidRPr="0041116C" w:rsidRDefault="0041116C" w:rsidP="00ED5EC7">
      <w:pPr>
        <w:spacing w:after="0" w:line="240" w:lineRule="auto"/>
        <w:ind w:right="195" w:firstLine="31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111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  исполнением постановления возложить   на </w:t>
      </w:r>
      <w:r w:rsidR="00ED5EC7">
        <w:rPr>
          <w:rFonts w:ascii="Times New Roman" w:eastAsia="Times New Roman" w:hAnsi="Times New Roman" w:cs="Times New Roman"/>
          <w:sz w:val="28"/>
          <w:szCs w:val="28"/>
        </w:rPr>
        <w:t xml:space="preserve">заведующего сектором по общим и земельно-правовым вопросам </w:t>
      </w:r>
      <w:proofErr w:type="spellStart"/>
      <w:r w:rsidR="00ED5EC7">
        <w:rPr>
          <w:rFonts w:ascii="Times New Roman" w:eastAsia="Times New Roman" w:hAnsi="Times New Roman" w:cs="Times New Roman"/>
          <w:sz w:val="28"/>
          <w:szCs w:val="28"/>
        </w:rPr>
        <w:t>С.П.Беседину</w:t>
      </w:r>
      <w:proofErr w:type="spellEnd"/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16C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D5EC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заведующего сектором экономики и финансов </w:t>
      </w:r>
      <w:proofErr w:type="spellStart"/>
      <w:r w:rsidR="00ED5EC7">
        <w:rPr>
          <w:rFonts w:ascii="Times New Roman" w:eastAsia="Times New Roman" w:hAnsi="Times New Roman" w:cs="Times New Roman"/>
          <w:bCs/>
          <w:sz w:val="28"/>
          <w:szCs w:val="28"/>
        </w:rPr>
        <w:t>С.В.Федорову</w:t>
      </w:r>
      <w:proofErr w:type="spellEnd"/>
      <w:r w:rsidR="00ED5E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941DA" w:rsidRDefault="00ED5EC7" w:rsidP="0041116C">
      <w:pPr>
        <w:autoSpaceDE w:val="0"/>
        <w:autoSpaceDN w:val="0"/>
        <w:adjustRightInd w:val="0"/>
        <w:spacing w:after="0" w:line="240" w:lineRule="auto"/>
        <w:ind w:left="426" w:right="195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1116C" w:rsidRPr="0041116C" w:rsidRDefault="00ED5EC7" w:rsidP="0041116C">
      <w:pPr>
        <w:autoSpaceDE w:val="0"/>
        <w:autoSpaceDN w:val="0"/>
        <w:adjustRightInd w:val="0"/>
        <w:spacing w:after="0" w:line="240" w:lineRule="auto"/>
        <w:ind w:left="426" w:right="195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16C" w:rsidRPr="0041116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41116C" w:rsidRDefault="00ED5EC7" w:rsidP="0041116C">
      <w:pPr>
        <w:keepNext/>
        <w:spacing w:after="60" w:line="240" w:lineRule="auto"/>
        <w:ind w:left="426" w:right="195" w:hanging="142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Синегорского сельского поселения</w:t>
      </w:r>
      <w:r w:rsidR="0041116C" w:rsidRPr="004111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А.В.Гвозденко</w:t>
      </w:r>
      <w:proofErr w:type="spellEnd"/>
    </w:p>
    <w:p w:rsidR="008941DA" w:rsidRPr="0041116C" w:rsidRDefault="008941DA" w:rsidP="0041116C">
      <w:pPr>
        <w:keepNext/>
        <w:spacing w:after="60" w:line="240" w:lineRule="auto"/>
        <w:ind w:left="426" w:right="195" w:hanging="142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116C" w:rsidRPr="0041116C" w:rsidRDefault="0041116C" w:rsidP="00ED5EC7">
      <w:pPr>
        <w:spacing w:after="0" w:line="240" w:lineRule="auto"/>
        <w:ind w:left="426" w:right="195" w:hanging="142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В.А. </w:t>
      </w:r>
      <w:proofErr w:type="spellStart"/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>Пруцакова</w:t>
      </w:r>
      <w:proofErr w:type="spellEnd"/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>. Лукьянов</w:t>
      </w:r>
    </w:p>
    <w:p w:rsidR="0041116C" w:rsidRPr="0041116C" w:rsidRDefault="0041116C" w:rsidP="0041116C">
      <w:pPr>
        <w:spacing w:after="0" w:line="240" w:lineRule="auto"/>
        <w:ind w:firstLine="56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1116C" w:rsidRPr="0041116C" w:rsidRDefault="0041116C" w:rsidP="0041116C">
      <w:pPr>
        <w:spacing w:after="0" w:line="240" w:lineRule="auto"/>
        <w:ind w:firstLine="56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832B4"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</w:p>
    <w:p w:rsidR="0041116C" w:rsidRPr="0041116C" w:rsidRDefault="001832B4" w:rsidP="0041116C">
      <w:pPr>
        <w:spacing w:after="0" w:line="240" w:lineRule="auto"/>
        <w:ind w:firstLine="566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41DA"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41116C" w:rsidRPr="0041116C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8941DA">
        <w:rPr>
          <w:rFonts w:ascii="Times New Roman" w:eastAsia="Times New Roman" w:hAnsi="Times New Roman" w:cs="Times New Roman"/>
          <w:sz w:val="28"/>
          <w:szCs w:val="28"/>
        </w:rPr>
        <w:t>240</w:t>
      </w:r>
      <w:bookmarkStart w:id="0" w:name="_GoBack"/>
      <w:bookmarkEnd w:id="0"/>
    </w:p>
    <w:p w:rsidR="0041116C" w:rsidRPr="0041116C" w:rsidRDefault="0041116C" w:rsidP="0041116C">
      <w:pPr>
        <w:spacing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6C" w:rsidRPr="0041116C" w:rsidRDefault="0041116C" w:rsidP="004111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«Приложение</w:t>
      </w:r>
    </w:p>
    <w:p w:rsidR="0041116C" w:rsidRPr="0041116C" w:rsidRDefault="0041116C" w:rsidP="004111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1832B4" w:rsidRDefault="001832B4" w:rsidP="001832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2B4" w:rsidRDefault="0041116C" w:rsidP="001832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832B4">
        <w:rPr>
          <w:rFonts w:ascii="Times New Roman" w:eastAsia="Times New Roman" w:hAnsi="Times New Roman" w:cs="Times New Roman"/>
          <w:sz w:val="28"/>
          <w:szCs w:val="28"/>
        </w:rPr>
        <w:t>26.10.2018 № 156</w:t>
      </w:r>
      <w:r w:rsidR="001832B4" w:rsidRPr="0041116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</w:t>
      </w:r>
    </w:p>
    <w:p w:rsidR="001832B4" w:rsidRDefault="001832B4" w:rsidP="001832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об оплате труда работников, осуществляющих </w:t>
      </w:r>
    </w:p>
    <w:p w:rsidR="001832B4" w:rsidRDefault="001832B4" w:rsidP="001832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обеспечение деятельности </w:t>
      </w:r>
    </w:p>
    <w:p w:rsidR="0041116C" w:rsidRPr="0041116C" w:rsidRDefault="001832B4" w:rsidP="001832B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zh-CN"/>
        </w:rPr>
        <w:t>Синегорского сельского поселения</w:t>
      </w:r>
      <w:r w:rsidR="0041116C" w:rsidRPr="004111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1116C" w:rsidRPr="0041116C" w:rsidRDefault="0041116C" w:rsidP="0041116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116C" w:rsidRPr="0041116C" w:rsidRDefault="0041116C" w:rsidP="0041116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1116C" w:rsidRPr="0041116C" w:rsidRDefault="0041116C" w:rsidP="00411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116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Администрации </w:t>
      </w:r>
      <w:r w:rsidR="001832B4">
        <w:rPr>
          <w:rFonts w:ascii="Times New Roman" w:eastAsia="Times New Roman" w:hAnsi="Times New Roman" w:cs="Times New Roman"/>
          <w:b/>
          <w:sz w:val="28"/>
          <w:szCs w:val="28"/>
        </w:rPr>
        <w:t>Синегорского сельского поселения</w:t>
      </w:r>
    </w:p>
    <w:p w:rsidR="0041116C" w:rsidRPr="0041116C" w:rsidRDefault="0041116C" w:rsidP="0041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32B4" w:rsidRPr="00942F9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оплате труда работников, осуществляющих техническое обеспечение деятельности органов местного самоуправления </w:t>
      </w:r>
      <w:r w:rsidR="001832B4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="001832B4"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Положение) устанавливает систему оплаты труда работников, осуществляющих техническое обеспечение деятельности органов местного самоуправления </w:t>
      </w:r>
      <w:r w:rsidR="001832B4"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="001832B4" w:rsidRPr="00942F9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технический персонал)</w:t>
      </w:r>
      <w:r w:rsidR="001832B4" w:rsidRPr="00942F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832B4" w:rsidRPr="00942F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2. Система оплаты труда технического персонала включает в себя: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а) должностные оклады;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б)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выплаты компенсационного характера;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в) выплаты стимулирующего характера.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 технического персонала: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46"/>
        <w:gridCol w:w="6019"/>
        <w:gridCol w:w="3427"/>
      </w:tblGrid>
      <w:tr w:rsidR="0041116C" w:rsidRPr="0041116C" w:rsidTr="004202F3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п\</w:t>
            </w:r>
            <w:proofErr w:type="gramStart"/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Должностной оклад</w:t>
            </w: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(рублей в месяц)</w:t>
            </w:r>
          </w:p>
        </w:tc>
      </w:tr>
      <w:tr w:rsidR="0041116C" w:rsidRPr="0041116C" w:rsidTr="004202F3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1832B4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116C"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9956</w:t>
            </w:r>
          </w:p>
        </w:tc>
      </w:tr>
      <w:tr w:rsidR="0041116C" w:rsidRPr="0041116C" w:rsidTr="004202F3">
        <w:tc>
          <w:tcPr>
            <w:tcW w:w="3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1832B4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116C"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16C" w:rsidRPr="0041116C" w:rsidRDefault="0041116C" w:rsidP="0041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Times New Roman" w:hAnsi="Times New Roman" w:cs="Times New Roman"/>
                <w:sz w:val="28"/>
                <w:szCs w:val="28"/>
              </w:rPr>
              <w:t>7950</w:t>
            </w:r>
          </w:p>
        </w:tc>
      </w:tr>
    </w:tbl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t>4. Компенсационные выплаты техническому персоналу.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proofErr w:type="gramStart"/>
      <w:r w:rsidRPr="0041116C">
        <w:rPr>
          <w:rFonts w:ascii="Times New Roman" w:eastAsia="Arial" w:hAnsi="Times New Roman" w:cs="Times New Roman"/>
          <w:sz w:val="28"/>
          <w:szCs w:val="28"/>
        </w:rPr>
        <w:t xml:space="preserve">Отдельным категориям работников из числа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 персонала ежемесячно выплачивается к должностному окладу доплата</w:t>
      </w: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  <w:proofErr w:type="gramEnd"/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1116C">
        <w:rPr>
          <w:rFonts w:ascii="Times New Roman" w:eastAsia="Times New Roman" w:hAnsi="Times New Roman" w:cs="Times New Roman"/>
          <w:bCs/>
          <w:sz w:val="28"/>
          <w:szCs w:val="28"/>
        </w:rPr>
        <w:t>Стимулирующие выплаты техническому персоналу: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t xml:space="preserve">5.1. Ежемесячная надбавка за интенсивность и высокие результаты </w:t>
      </w:r>
      <w:r w:rsidRPr="0041116C">
        <w:rPr>
          <w:rFonts w:ascii="Times New Roman" w:eastAsia="Arial" w:hAnsi="Times New Roman" w:cs="Times New Roman"/>
          <w:iCs/>
          <w:sz w:val="28"/>
          <w:szCs w:val="28"/>
        </w:rPr>
        <w:t xml:space="preserve">работы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техническому персоналу </w:t>
      </w:r>
      <w:r w:rsidRPr="0041116C">
        <w:rPr>
          <w:rFonts w:ascii="Times New Roman" w:eastAsia="Arial" w:hAnsi="Times New Roman" w:cs="Times New Roman"/>
          <w:sz w:val="28"/>
          <w:szCs w:val="28"/>
        </w:rPr>
        <w:t>к должностному окладу в следующих размерах: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t>инспектору-до 200 процентов должностного оклада;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старшему инспектору </w:t>
      </w:r>
      <w:r w:rsidRPr="0041116C">
        <w:rPr>
          <w:rFonts w:ascii="Times New Roman" w:eastAsia="Times New Roman" w:hAnsi="Times New Roman" w:cs="Times New Roman"/>
          <w:iCs/>
          <w:sz w:val="28"/>
          <w:szCs w:val="28"/>
        </w:rPr>
        <w:t>– до 250 процентов должностного оклада;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другим категориям работников технического персонала – от 100 до 150 процентов должностного оклада</w:t>
      </w:r>
      <w:r w:rsidRPr="0041116C">
        <w:rPr>
          <w:rFonts w:ascii="Times New Roman" w:eastAsia="Arial" w:hAnsi="Times New Roman" w:cs="Times New Roman"/>
          <w:iCs/>
          <w:sz w:val="28"/>
          <w:szCs w:val="28"/>
        </w:rPr>
        <w:t>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технического персонала за интенсивность и высокие результаты работы выплачивается за фактически отработанное время.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надбавка к должностному окладу технического персонала за интенсивность и высокие результаты работы устанавливается конкретно каждому работнику распоряжением Администрации </w:t>
      </w:r>
      <w:r w:rsidR="001832B4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технического персонала за интенсивность и высокие результаты работы может быть увеличена или уменьшена при изменении результатов и режима работы, в пределах утвержденного фонда оплаты труда.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116C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технического персонала за интенсивность и высокие результаты работы не выплачивается в период прохождения испытательного срока, работникам, заключившим трудовой договор на срок до двух месяцев, лицам, работающим по совместительству, а также во время нахождения работника в административном отпуске и в отпуске по уходу за ребёнком до достижения им возраста 3-х лет.</w:t>
      </w:r>
      <w:proofErr w:type="gramEnd"/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Ежемесячная надбавка за интенсивность и высокие результаты работы учитывается при исчислении средней заработной платы работника.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5.2. Ежемесячная надбавка к должностному окладу за выслугу лет устанавливается работникам из числа технического персонала в зависимости от стажа работы в следующих размерах: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7"/>
        <w:gridCol w:w="5343"/>
      </w:tblGrid>
      <w:tr w:rsidR="0041116C" w:rsidRPr="0041116C" w:rsidTr="004202F3">
        <w:trPr>
          <w:tblHeader/>
        </w:trPr>
        <w:tc>
          <w:tcPr>
            <w:tcW w:w="4777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Lucida Sans Unicode" w:hAnsi="Times New Roman" w:cs="Times New Roman"/>
                <w:sz w:val="28"/>
                <w:szCs w:val="28"/>
              </w:rPr>
              <w:t>при стаже работы:</w:t>
            </w:r>
          </w:p>
        </w:tc>
        <w:tc>
          <w:tcPr>
            <w:tcW w:w="5343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в процентах </w:t>
            </w:r>
          </w:p>
        </w:tc>
      </w:tr>
      <w:tr w:rsidR="0041116C" w:rsidRPr="0041116C" w:rsidTr="004202F3">
        <w:tc>
          <w:tcPr>
            <w:tcW w:w="4777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Courier New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343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Courier New" w:hAnsi="Times New Roman" w:cs="Times New Roman"/>
                <w:sz w:val="28"/>
                <w:szCs w:val="28"/>
              </w:rPr>
              <w:t>10</w:t>
            </w:r>
          </w:p>
        </w:tc>
      </w:tr>
      <w:tr w:rsidR="0041116C" w:rsidRPr="0041116C" w:rsidTr="004202F3">
        <w:tc>
          <w:tcPr>
            <w:tcW w:w="4777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Courier New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43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Lucida Sans Unicode" w:hAnsi="Times New Roman" w:cs="Times New Roman"/>
                <w:sz w:val="28"/>
                <w:szCs w:val="28"/>
              </w:rPr>
              <w:t>15</w:t>
            </w:r>
          </w:p>
        </w:tc>
      </w:tr>
      <w:tr w:rsidR="0041116C" w:rsidRPr="0041116C" w:rsidTr="004202F3">
        <w:tc>
          <w:tcPr>
            <w:tcW w:w="4777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Courier New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343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Lucida Sans Unicode" w:hAnsi="Times New Roman" w:cs="Times New Roman"/>
                <w:sz w:val="28"/>
                <w:szCs w:val="28"/>
              </w:rPr>
              <w:t>20</w:t>
            </w:r>
          </w:p>
        </w:tc>
      </w:tr>
      <w:tr w:rsidR="0041116C" w:rsidRPr="0041116C" w:rsidTr="004202F3">
        <w:tc>
          <w:tcPr>
            <w:tcW w:w="4777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ind w:left="124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Courier New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343" w:type="dxa"/>
          </w:tcPr>
          <w:p w:rsidR="0041116C" w:rsidRPr="0041116C" w:rsidRDefault="0041116C" w:rsidP="0041116C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41116C">
              <w:rPr>
                <w:rFonts w:ascii="Times New Roman" w:eastAsia="Lucida Sans Unicode" w:hAnsi="Times New Roman" w:cs="Times New Roman"/>
                <w:sz w:val="28"/>
                <w:szCs w:val="28"/>
              </w:rPr>
              <w:t>30</w:t>
            </w:r>
          </w:p>
        </w:tc>
      </w:tr>
    </w:tbl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>В стаж работы</w:t>
      </w:r>
      <w:r w:rsidRPr="0041116C">
        <w:rPr>
          <w:rFonts w:ascii="Times New Roman" w:eastAsia="Arial" w:hAnsi="Times New Roman" w:cs="Times New Roman"/>
          <w:iCs/>
          <w:kern w:val="1"/>
          <w:sz w:val="28"/>
          <w:szCs w:val="28"/>
        </w:rPr>
        <w:t xml:space="preserve">, дающий право на получение ежемесячной надбавки к должностному окладу за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выслугу</w:t>
      </w:r>
      <w:r w:rsidRPr="0041116C">
        <w:rPr>
          <w:rFonts w:ascii="Times New Roman" w:eastAsia="Arial" w:hAnsi="Times New Roman" w:cs="Times New Roman"/>
          <w:iCs/>
          <w:kern w:val="1"/>
          <w:sz w:val="28"/>
          <w:szCs w:val="28"/>
        </w:rPr>
        <w:t xml:space="preserve"> лет, включаются периоды работы, которые в соответствии с нормативными правовыми</w:t>
      </w:r>
      <w:r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должностями федеральной государственной службы, ежемесячной надбавки за выслугу лет.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 xml:space="preserve">Стаж на получение надбавки за выслугу лет подтверждается решением комиссии Администрации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="00180BB1"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 xml:space="preserve"> </w:t>
      </w:r>
      <w:r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>по исчислению соответствующего стажа службы.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Работникам из числа технического персонала</w:t>
      </w:r>
      <w:r w:rsidRPr="0041116C">
        <w:rPr>
          <w:rFonts w:ascii="Times New Roman" w:eastAsia="Times New Roman" w:hAnsi="Times New Roman" w:cs="Times New Roman"/>
          <w:iCs/>
          <w:kern w:val="1"/>
          <w:sz w:val="28"/>
          <w:szCs w:val="28"/>
        </w:rPr>
        <w:t>, проработавшим неполный месяц в расчетный период, выплата надбавки за выслугу лет производится пропорционально отработанному времени.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Надбавка за выслугу лет учитывается при исчислении средней заработной платы работника.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>5.3. Т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ехническому персоналу </w:t>
      </w:r>
      <w:r w:rsidRPr="0041116C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 xml:space="preserve">выплачивается премия по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1116C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 xml:space="preserve"> работы за месяц в следующих размерах: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руководителям, старшим инспекторам, инспекторам </w:t>
      </w:r>
      <w:r w:rsidRPr="0041116C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>–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 до 50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 должностного оклада;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другим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категориям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работников </w:t>
      </w:r>
      <w:r w:rsidRPr="0041116C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</w:rPr>
        <w:t>–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до 25 процентов должностного оклада.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>5.4. В пределах утвержденного фонда оплаты труда п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Администрации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>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5.5. Техническому персоналу 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>в</w:t>
      </w:r>
      <w:r w:rsidRPr="0041116C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</w:rPr>
        <w:t xml:space="preserve"> пределах утвержденного фонда оплаты труда</w:t>
      </w:r>
      <w:r w:rsidRPr="0041116C">
        <w:rPr>
          <w:rFonts w:ascii="Times New Roman" w:eastAsia="Arial" w:hAnsi="Times New Roman" w:cs="Times New Roman"/>
          <w:bCs/>
          <w:iCs/>
          <w:kern w:val="1"/>
          <w:sz w:val="28"/>
          <w:szCs w:val="28"/>
        </w:rPr>
        <w:t xml:space="preserve"> может быть выплачена премия в размере двух должностных окладов по результатам работы за год. 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Техническому персоналу</w:t>
      </w:r>
      <w:r w:rsidRPr="0041116C">
        <w:rPr>
          <w:rFonts w:ascii="Times New Roman" w:eastAsia="Arial" w:hAnsi="Times New Roman" w:cs="Times New Roman"/>
          <w:sz w:val="28"/>
          <w:szCs w:val="28"/>
        </w:rPr>
        <w:t>, проработавшему неполные месяцы в текущем году в связи с призывом на службу в Вооруженные Силы Российской Федерации,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выплата премии производится за фактически  отработанный период  времени.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t xml:space="preserve">Премия выплачивается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работникам из числа технического персонала</w:t>
      </w:r>
      <w:r w:rsidRPr="0041116C">
        <w:rPr>
          <w:rFonts w:ascii="Times New Roman" w:eastAsia="Arial" w:hAnsi="Times New Roman" w:cs="Times New Roman"/>
          <w:sz w:val="28"/>
          <w:szCs w:val="28"/>
        </w:rPr>
        <w:t>, в том числе и уволившимся по уважительной причине (в порядке перевода, в связи с сокращением численности и штатов, с выходом на пенсию по всем основаниям, связанным с поступлением в учебное заведение и др.)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6. Работник из числа технического персонала</w:t>
      </w:r>
      <w:r w:rsidRPr="0041116C">
        <w:rPr>
          <w:rFonts w:ascii="Times New Roman" w:eastAsia="Arial" w:hAnsi="Times New Roman" w:cs="Times New Roman"/>
          <w:sz w:val="28"/>
          <w:szCs w:val="28"/>
        </w:rPr>
        <w:t>, может быть лишен премии частично или полностью за неисполнение или не надлежащее исполнение: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 нормативных правовых актов органов местного самоуправления;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 регламента работы органов местного самоуправления;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за неисполнение или не надлежащее исполнение возложенных на него должностных обязанностей, приведшее к нарушению сроков прохождения документов, грубым ошибкам при подготовке документов, некачественному проведению проверок, в результате чего, материалы рассматривались вторично;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при увольнении за виновные действия;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обнаружения приписок, искажения отчетности, повлиявших на результат деятельности органов местного самоуправления;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 не обеспечение сохранности имущества;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-  при наличии дисциплинарного взыскания</w:t>
      </w:r>
      <w:r w:rsidRPr="00411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6.1. Лишение технического персонала премии производится распоряжением Администрации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="00180BB1" w:rsidRPr="0041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служебной записки должностных лиц Администрации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. Факт нарушения должностной и (или) трудовой дисциплины должен быть подтвержден объяснительной запиской работника, допустившего нарушение.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6.2. Премия не выплачивается работникам из числа технического персонала, имеющим не снятые дисциплинарные взыскания.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по выплате премии по итогам года не учитываются факты и случаи лишения (снижения) премий по текущему премированию.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Выплачиваемые премии, учитываются при исчислении средней заработной платы.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6.3. К юбилейным датам и праздничным дням, работникам из числа технического персонала может выплачиваться единовременное денежное поощрение по ходатайству должностного лица Администрации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 xml:space="preserve">Синегорского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>. При этом размер премирования определяется в зависимости от личного вклада работника в общие результаты работы.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Единовременное денежное поощрение может выплачиваться только при наличии экономии фонда оплаты труда, исчисленной нарастающим итогом с начала текущего финансового года.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6.4. Премия не выплачивается техническому персоналу в период прохождения испытательного срока, замещающему должности по совместительству, принятому для выполнения определенной работы по срочному трудовому договору на срок менее двух месяцев во время нахождения работника в административном отпуске и в отпуске по уходу за ребенком до достижения им возраста 3-х лет.</w:t>
      </w:r>
    </w:p>
    <w:p w:rsidR="0041116C" w:rsidRPr="0041116C" w:rsidRDefault="0041116C" w:rsidP="0041116C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7. Работникам из числа технического персонала выплачивается материальная помощь. </w:t>
      </w:r>
    </w:p>
    <w:p w:rsidR="0041116C" w:rsidRPr="0041116C" w:rsidRDefault="0041116C" w:rsidP="0041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Работникам из числа технического персонала материальная помощь выплачивается в размере 2-х должностных окладов в календарном году.</w:t>
      </w:r>
    </w:p>
    <w:p w:rsidR="0041116C" w:rsidRPr="0041116C" w:rsidRDefault="0041116C" w:rsidP="0041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Материальная помощь не выплачивается работникам, работающим по совместительству, либо принятым на время выполнения временных до 2-х месяцев работ.</w:t>
      </w:r>
    </w:p>
    <w:p w:rsidR="0041116C" w:rsidRPr="0041116C" w:rsidRDefault="0041116C" w:rsidP="0041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>Размер материальной помощи лицам, работающим на условиях неполного рабочего дня, исчисляется из фактически получаемого должностного оклада.</w:t>
      </w:r>
    </w:p>
    <w:p w:rsidR="0041116C" w:rsidRPr="0041116C" w:rsidRDefault="0041116C" w:rsidP="0041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116C">
        <w:rPr>
          <w:rFonts w:ascii="Times New Roman" w:eastAsia="Times New Roman" w:hAnsi="Times New Roman" w:cs="Times New Roman"/>
          <w:sz w:val="28"/>
          <w:szCs w:val="28"/>
        </w:rPr>
        <w:t>Работникам, проработавшим неполный период, принятый в качестве расчетного для выплаты материальной помощи, в связи с призывом на службу в Вооруженные Силы Российской Федерации, переводом на другую работу, поступлением в учебные заведения, окончанием срочного трудового договора, сокращением численности или штата, уходом на пенсию, увольнением по собственному желанию, выплата материальной помощи производится пропорционально отработанному времени.</w:t>
      </w:r>
      <w:proofErr w:type="gramEnd"/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Выплата материальной помощи производится по заявлению работника.</w:t>
      </w:r>
    </w:p>
    <w:p w:rsidR="0041116C" w:rsidRPr="0041116C" w:rsidRDefault="0041116C" w:rsidP="0041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8. Увеличение (индексация) должностных окладов технического персонала. 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оклады технического персонала ежегодно увеличиваются (индексируются) 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Администрацией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="00180BB1"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размерах и в сроки, предусмотренные для работников муниципальных учреждений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Увеличение (индексация) размеров ставок заработной платы технического персонала производится 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бюджета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соответствующих изменений в решение Собрания депутатов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Синегорского сельского 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180BB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период.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При увеличении (индексации) должностных окладов технического персонала их размеры подлежат округлению до целого рубля в сторону увеличения.</w:t>
      </w:r>
    </w:p>
    <w:p w:rsidR="0041116C" w:rsidRPr="0041116C" w:rsidRDefault="0041116C" w:rsidP="0041116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1116C">
        <w:rPr>
          <w:rFonts w:ascii="Times New Roman" w:eastAsia="Arial" w:hAnsi="Times New Roman" w:cs="Times New Roman"/>
          <w:sz w:val="28"/>
          <w:szCs w:val="28"/>
        </w:rPr>
        <w:t>9.</w:t>
      </w:r>
      <w:r w:rsidRPr="0041116C">
        <w:rPr>
          <w:rFonts w:ascii="Times New Roman" w:eastAsia="Arial" w:hAnsi="Times New Roman" w:cs="Times New Roman"/>
          <w:bCs/>
          <w:sz w:val="28"/>
          <w:szCs w:val="28"/>
        </w:rPr>
        <w:t xml:space="preserve"> Финансирование расходов на оплату труда технического персонала.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Финансирование расходов на оплату труда технического персонала осуществляется за счет средств бюджета муниципального района.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ежемесячной надбавки к должностному окладу за интенсивность и высокие результаты работы: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- для работников, указанных в абзаце 2 подпункта 5.1 пункта 5 настоящего Положения (начальник службы эксплуатации зданий) - в размере 26,4 должностных окладов, 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-для работников, указанных в абзаце 3 подпункта 5.1 пункта 5 настоящего Положения (инспектора), - в размере 24 должностных окладов, 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- для работников, указанных в абзаце 4 подпункта 5.1 пункта 5 настоящего Положения (старшие инспектора) - в размере 30 должностных окладов;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- для работников, указанных в абзаце 5 пункта 5 настоящего положения (другим категориям работников из числа технического персонала) – в размере 18 должностных окладов;  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ежемесячной надбавки к должностному окладу за выслугу лет – в размере 3 должностных окладов;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премии по результатам работы за месяц – в размере 3 должностных окладов, для работников, указанных в абзаце 2 подпункта 5.3 пункта 5 настоящего Положения (</w:t>
      </w:r>
      <w:r w:rsidRPr="0041116C">
        <w:rPr>
          <w:rFonts w:ascii="Times New Roman" w:eastAsia="Arial" w:hAnsi="Times New Roman" w:cs="Times New Roman"/>
          <w:sz w:val="28"/>
          <w:szCs w:val="28"/>
        </w:rPr>
        <w:t xml:space="preserve">руководителям, старшим инспекторам, инспекторам) </w:t>
      </w: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- в размере 6 должностных окладов;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материальной помощи – в размере 2 должностных окладов;</w:t>
      </w:r>
    </w:p>
    <w:p w:rsidR="0041116C" w:rsidRPr="0041116C" w:rsidRDefault="0041116C" w:rsidP="0041116C">
      <w:pPr>
        <w:tabs>
          <w:tab w:val="left" w:pos="720"/>
        </w:tabs>
        <w:snapToGri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kern w:val="1"/>
          <w:sz w:val="28"/>
          <w:szCs w:val="28"/>
        </w:rPr>
        <w:t>ежемесячная доплата к должностному окладу за работу в ночное время выплачивается в пределах утвержденного фонда оплаты труда».</w:t>
      </w:r>
    </w:p>
    <w:p w:rsidR="0041116C" w:rsidRPr="0041116C" w:rsidRDefault="0041116C" w:rsidP="00411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BB1" w:rsidRDefault="00180BB1" w:rsidP="00411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С</w:t>
      </w:r>
      <w:r w:rsidRPr="0018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общим и </w:t>
      </w:r>
    </w:p>
    <w:p w:rsidR="0041116C" w:rsidRPr="0041116C" w:rsidRDefault="00180BB1" w:rsidP="0041116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земельно-правовым вопросам</w:t>
      </w:r>
      <w:r w:rsidRPr="0041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1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С.П.Беседина</w:t>
      </w:r>
      <w:proofErr w:type="spellEnd"/>
      <w:r w:rsidRPr="00411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</w:t>
      </w:r>
    </w:p>
    <w:p w:rsidR="0041116C" w:rsidRPr="0041116C" w:rsidRDefault="0041116C" w:rsidP="0041116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>Начальник юридического отдела                                                               С.Ю. Лукьянов</w:t>
      </w:r>
    </w:p>
    <w:p w:rsidR="0041116C" w:rsidRPr="0041116C" w:rsidRDefault="0041116C" w:rsidP="0041116C">
      <w:pPr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41116C" w:rsidRPr="0041116C" w:rsidRDefault="0041116C" w:rsidP="0041116C">
      <w:pPr>
        <w:tabs>
          <w:tab w:val="left" w:pos="709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>Проект вносит:</w:t>
      </w:r>
    </w:p>
    <w:p w:rsidR="00456EFE" w:rsidRPr="000B52B2" w:rsidRDefault="0041116C" w:rsidP="00411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16C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Начальник общего </w:t>
      </w:r>
    </w:p>
    <w:sectPr w:rsidR="00456EFE" w:rsidRPr="000B52B2" w:rsidSect="00ED5EC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555"/>
    <w:rsid w:val="00002F3A"/>
    <w:rsid w:val="0004452D"/>
    <w:rsid w:val="000B52B2"/>
    <w:rsid w:val="001029BC"/>
    <w:rsid w:val="001116B6"/>
    <w:rsid w:val="00180BB1"/>
    <w:rsid w:val="001832B4"/>
    <w:rsid w:val="001866A2"/>
    <w:rsid w:val="001B3D37"/>
    <w:rsid w:val="001E7CE9"/>
    <w:rsid w:val="00222035"/>
    <w:rsid w:val="002619EA"/>
    <w:rsid w:val="00314C70"/>
    <w:rsid w:val="003369DE"/>
    <w:rsid w:val="0035149F"/>
    <w:rsid w:val="00386DD7"/>
    <w:rsid w:val="003A0014"/>
    <w:rsid w:val="003A1B32"/>
    <w:rsid w:val="003C3E4E"/>
    <w:rsid w:val="003F12EC"/>
    <w:rsid w:val="003F599C"/>
    <w:rsid w:val="0041116C"/>
    <w:rsid w:val="00451B94"/>
    <w:rsid w:val="00456EFE"/>
    <w:rsid w:val="0047254F"/>
    <w:rsid w:val="004D6DA1"/>
    <w:rsid w:val="004F1D38"/>
    <w:rsid w:val="004F230B"/>
    <w:rsid w:val="0051068E"/>
    <w:rsid w:val="00537346"/>
    <w:rsid w:val="005A6198"/>
    <w:rsid w:val="005F0555"/>
    <w:rsid w:val="00617D57"/>
    <w:rsid w:val="00654200"/>
    <w:rsid w:val="006754F7"/>
    <w:rsid w:val="006A1857"/>
    <w:rsid w:val="006A7E7F"/>
    <w:rsid w:val="006C791E"/>
    <w:rsid w:val="0072160C"/>
    <w:rsid w:val="0072782D"/>
    <w:rsid w:val="00735B44"/>
    <w:rsid w:val="00762A27"/>
    <w:rsid w:val="007B6E94"/>
    <w:rsid w:val="007C010A"/>
    <w:rsid w:val="007E4080"/>
    <w:rsid w:val="007E7E8E"/>
    <w:rsid w:val="00810EC6"/>
    <w:rsid w:val="0081796E"/>
    <w:rsid w:val="008244DE"/>
    <w:rsid w:val="00842479"/>
    <w:rsid w:val="00851BFF"/>
    <w:rsid w:val="00861528"/>
    <w:rsid w:val="008624DF"/>
    <w:rsid w:val="00871194"/>
    <w:rsid w:val="008750FC"/>
    <w:rsid w:val="008767FE"/>
    <w:rsid w:val="00880B10"/>
    <w:rsid w:val="008941DA"/>
    <w:rsid w:val="008A7A23"/>
    <w:rsid w:val="008B6934"/>
    <w:rsid w:val="008D33D2"/>
    <w:rsid w:val="008E3E7B"/>
    <w:rsid w:val="008F2CE4"/>
    <w:rsid w:val="008F6099"/>
    <w:rsid w:val="00902BB6"/>
    <w:rsid w:val="00922F0A"/>
    <w:rsid w:val="00954FF2"/>
    <w:rsid w:val="009648CA"/>
    <w:rsid w:val="00965A88"/>
    <w:rsid w:val="00990C34"/>
    <w:rsid w:val="009B2505"/>
    <w:rsid w:val="009F01C0"/>
    <w:rsid w:val="00A3589C"/>
    <w:rsid w:val="00A6550D"/>
    <w:rsid w:val="00A840FE"/>
    <w:rsid w:val="00AC6C3B"/>
    <w:rsid w:val="00B15CD7"/>
    <w:rsid w:val="00B24785"/>
    <w:rsid w:val="00B72E01"/>
    <w:rsid w:val="00B77ADD"/>
    <w:rsid w:val="00BC0171"/>
    <w:rsid w:val="00C217DF"/>
    <w:rsid w:val="00C27F35"/>
    <w:rsid w:val="00C55D7B"/>
    <w:rsid w:val="00C61AF7"/>
    <w:rsid w:val="00CB61C7"/>
    <w:rsid w:val="00D02ABF"/>
    <w:rsid w:val="00D16597"/>
    <w:rsid w:val="00D23DEB"/>
    <w:rsid w:val="00DE556A"/>
    <w:rsid w:val="00E76138"/>
    <w:rsid w:val="00E77FB6"/>
    <w:rsid w:val="00EA61A1"/>
    <w:rsid w:val="00ED5EC7"/>
    <w:rsid w:val="00EF2858"/>
    <w:rsid w:val="00F04AA5"/>
    <w:rsid w:val="00F10440"/>
    <w:rsid w:val="00F22115"/>
    <w:rsid w:val="00F26CE6"/>
    <w:rsid w:val="00F55E59"/>
    <w:rsid w:val="00FC08B2"/>
    <w:rsid w:val="00FC738B"/>
    <w:rsid w:val="00FD2E77"/>
    <w:rsid w:val="00FF191D"/>
    <w:rsid w:val="00FF37A5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F055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F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86</cp:revision>
  <cp:lastPrinted>2024-12-27T06:18:00Z</cp:lastPrinted>
  <dcterms:created xsi:type="dcterms:W3CDTF">2018-05-17T11:18:00Z</dcterms:created>
  <dcterms:modified xsi:type="dcterms:W3CDTF">2024-12-27T06:19:00Z</dcterms:modified>
</cp:coreProperties>
</file>