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0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01075" w:rsidP="00301075">
      <w:pPr>
        <w:jc w:val="center"/>
      </w:pP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616E82" w:rsidP="00301075">
      <w:pPr>
        <w:jc w:val="center"/>
      </w:pPr>
      <w:r>
        <w:t>27.</w:t>
      </w:r>
      <w:r w:rsidR="00342DC9" w:rsidRPr="00481FD6">
        <w:t>0</w:t>
      </w:r>
      <w:r w:rsidR="005513E5">
        <w:t>6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92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5F37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>
              <w:rPr>
                <w:sz w:val="26"/>
                <w:szCs w:val="26"/>
              </w:rPr>
              <w:t>118 869,7</w:t>
            </w:r>
            <w:r w:rsidRPr="005F37E6">
              <w:rPr>
                <w:sz w:val="26"/>
                <w:szCs w:val="26"/>
              </w:rPr>
              <w:t xml:space="preserve"> тыс. рублей;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119 311,0</w:t>
            </w:r>
            <w:r w:rsidRPr="005F37E6">
              <w:rPr>
                <w:bCs/>
                <w:sz w:val="26"/>
                <w:szCs w:val="26"/>
              </w:rPr>
              <w:t xml:space="preserve"> тыс. рублей;»;</w:t>
            </w:r>
          </w:p>
          <w:p w:rsidR="00B23A5F" w:rsidRPr="00481FD6" w:rsidRDefault="00B23A5F" w:rsidP="00B23A5F">
            <w:pPr>
              <w:spacing w:line="276" w:lineRule="auto"/>
              <w:ind w:firstLine="540"/>
              <w:jc w:val="both"/>
              <w:rPr>
                <w:bCs/>
              </w:rPr>
            </w:pPr>
          </w:p>
          <w:p w:rsidR="00681925" w:rsidRPr="00481FD6" w:rsidRDefault="00CC6133" w:rsidP="00CC613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5F37E6">
              <w:rPr>
                <w:b/>
                <w:sz w:val="26"/>
                <w:szCs w:val="26"/>
              </w:rPr>
              <w:t>2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5F37E6">
              <w:rPr>
                <w:sz w:val="26"/>
                <w:szCs w:val="26"/>
              </w:rPr>
              <w:t xml:space="preserve"> </w:t>
            </w:r>
            <w:r w:rsidR="00681925" w:rsidRPr="00481FD6">
              <w:rPr>
                <w:sz w:val="26"/>
                <w:szCs w:val="26"/>
              </w:rPr>
              <w:t>6 изложить в следующей редакции:</w:t>
            </w:r>
          </w:p>
          <w:p w:rsidR="00F857C5" w:rsidRPr="005F37E6" w:rsidRDefault="00681925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>«</w:t>
            </w:r>
            <w:r w:rsidR="005F37E6" w:rsidRPr="005F37E6">
              <w:rPr>
                <w:bCs/>
                <w:sz w:val="26"/>
                <w:szCs w:val="26"/>
              </w:rPr>
              <w:t xml:space="preserve">6. </w:t>
            </w:r>
            <w:r w:rsidR="005F37E6" w:rsidRPr="005F37E6">
              <w:rPr>
                <w:snapToGrid w:val="0"/>
                <w:sz w:val="26"/>
                <w:szCs w:val="26"/>
              </w:rPr>
              <w:t xml:space="preserve">Утвердить объем бюджетных ассигнований </w:t>
            </w:r>
            <w:r w:rsidR="005F37E6" w:rsidRPr="005F37E6">
              <w:rPr>
                <w:sz w:val="26"/>
                <w:szCs w:val="26"/>
              </w:rPr>
              <w:t xml:space="preserve">дорожного фонда Синегорского сельского поселения на 2024 год в сумме </w:t>
            </w:r>
            <w:r w:rsidR="005F37E6">
              <w:rPr>
                <w:sz w:val="26"/>
                <w:szCs w:val="26"/>
              </w:rPr>
              <w:t>3 288,3</w:t>
            </w:r>
            <w:r w:rsidR="005F37E6" w:rsidRPr="005F37E6">
              <w:rPr>
                <w:sz w:val="26"/>
                <w:szCs w:val="26"/>
              </w:rPr>
              <w:t xml:space="preserve"> тыс. рублей, 2025 год в сумме </w:t>
            </w:r>
            <w:r w:rsidR="00DA227F">
              <w:rPr>
                <w:sz w:val="26"/>
                <w:szCs w:val="26"/>
              </w:rPr>
              <w:t>536,2</w:t>
            </w:r>
            <w:r w:rsidR="005F37E6" w:rsidRPr="005F37E6">
              <w:rPr>
                <w:sz w:val="26"/>
                <w:szCs w:val="26"/>
              </w:rPr>
              <w:t xml:space="preserve"> тыс. рублей, на 2026 год в сумме 0,0 тыс. рублей;</w:t>
            </w:r>
            <w:r w:rsidR="005F37E6">
              <w:rPr>
                <w:sz w:val="26"/>
                <w:szCs w:val="26"/>
              </w:rPr>
              <w:t>»;</w:t>
            </w:r>
          </w:p>
          <w:p w:rsidR="00301075" w:rsidRPr="00F40318" w:rsidRDefault="00301075" w:rsidP="009F17DF">
            <w:pPr>
              <w:rPr>
                <w:sz w:val="26"/>
                <w:szCs w:val="26"/>
              </w:rPr>
            </w:pPr>
          </w:p>
        </w:tc>
      </w:tr>
    </w:tbl>
    <w:p w:rsidR="001B499D" w:rsidRPr="00481FD6" w:rsidRDefault="001B499D" w:rsidP="0054794C">
      <w:pPr>
        <w:jc w:val="both"/>
      </w:pPr>
    </w:p>
    <w:p w:rsidR="00141277" w:rsidRPr="00481FD6" w:rsidRDefault="00020C83" w:rsidP="00B23A5F">
      <w:pPr>
        <w:autoSpaceDE w:val="0"/>
        <w:spacing w:line="276" w:lineRule="auto"/>
        <w:jc w:val="both"/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141277" w:rsidRDefault="00141277" w:rsidP="006B22E8"/>
    <w:p w:rsidR="00A429EA" w:rsidRDefault="00A429EA" w:rsidP="006B22E8"/>
    <w:p w:rsidR="00A429EA" w:rsidRDefault="00A429EA" w:rsidP="006B22E8"/>
    <w:p w:rsidR="00A429EA" w:rsidRDefault="00A429EA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>
      <w:pPr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616E82" w:rsidP="005269AC">
      <w:r>
        <w:rPr>
          <w:b/>
          <w:bCs/>
        </w:rPr>
        <w:t xml:space="preserve">     </w:t>
      </w:r>
      <w:r w:rsidR="005269AC">
        <w:rPr>
          <w:b/>
          <w:bCs/>
        </w:rPr>
        <w:t>3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2995"/>
        <w:gridCol w:w="7796"/>
        <w:gridCol w:w="1418"/>
        <w:gridCol w:w="1257"/>
        <w:gridCol w:w="1134"/>
      </w:tblGrid>
      <w:tr w:rsidR="005269AC" w:rsidRPr="00EE0D48" w:rsidTr="00D51C1D">
        <w:trPr>
          <w:trHeight w:val="77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9AC" w:rsidRDefault="005269AC" w:rsidP="005269AC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  <w:p w:rsidR="005269AC" w:rsidRPr="00EE0D48" w:rsidRDefault="005269AC" w:rsidP="005269AC">
            <w:pPr>
              <w:jc w:val="center"/>
            </w:pPr>
          </w:p>
        </w:tc>
      </w:tr>
      <w:tr w:rsidR="005269AC" w:rsidRPr="00EE0D48" w:rsidTr="00D51C1D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  <w:tr w:rsidR="005269AC" w:rsidRPr="00EE0D48" w:rsidTr="00D51C1D">
        <w:trPr>
          <w:trHeight w:val="3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AC" w:rsidRPr="00481FD6" w:rsidRDefault="005269AC" w:rsidP="005269AC">
            <w:pPr>
              <w:jc w:val="center"/>
            </w:pPr>
            <w:r w:rsidRPr="00481FD6">
              <w:t>Код бюджетной классификации Российской Федерации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AC" w:rsidRPr="00481FD6" w:rsidRDefault="005269AC" w:rsidP="005269AC">
            <w:pPr>
              <w:jc w:val="center"/>
            </w:pPr>
            <w:r w:rsidRPr="00481FD6"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2024</w:t>
            </w:r>
            <w:r w:rsidRPr="00EE0D48"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2025</w:t>
            </w:r>
            <w:r w:rsidRPr="00EE0D4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2026</w:t>
            </w:r>
            <w:r w:rsidRPr="00EE0D48">
              <w:t xml:space="preserve"> год</w:t>
            </w:r>
          </w:p>
        </w:tc>
      </w:tr>
      <w:tr w:rsidR="005269AC" w:rsidRPr="00EE0D48" w:rsidTr="00D51C1D">
        <w:trPr>
          <w:trHeight w:val="27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5</w:t>
            </w:r>
          </w:p>
        </w:tc>
      </w:tr>
      <w:tr w:rsidR="00D51C1D" w:rsidRPr="00EE0D48" w:rsidTr="00D51C1D">
        <w:trPr>
          <w:trHeight w:val="26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  <w:rPr>
                <w:rFonts w:ascii="Times New Roman CYR" w:hAnsi="Times New Roman CYR" w:cs="Times New Roman CYR"/>
              </w:rPr>
            </w:pPr>
            <w:r w:rsidRPr="00A701BA">
              <w:rPr>
                <w:rFonts w:ascii="Times New Roman CYR" w:hAnsi="Times New Roman CYR" w:cs="Times New Roman CYR"/>
              </w:rPr>
              <w:t xml:space="preserve">ВСЕГО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118 869,7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26 588,6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25 160,4</w:t>
            </w:r>
          </w:p>
        </w:tc>
      </w:tr>
      <w:tr w:rsidR="00D51C1D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5 977,2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7 928,6</w:t>
            </w:r>
          </w:p>
        </w:tc>
      </w:tr>
      <w:tr w:rsidR="00D51C1D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5 653,0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7 606,5</w:t>
            </w:r>
          </w:p>
        </w:tc>
      </w:tr>
      <w:tr w:rsidR="005269AC" w:rsidRPr="00EE0D48" w:rsidTr="00D51C1D">
        <w:trPr>
          <w:trHeight w:val="38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2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96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28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26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31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4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2 710,5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4 664,0</w:t>
            </w:r>
          </w:p>
        </w:tc>
      </w:tr>
      <w:tr w:rsidR="005269AC" w:rsidRPr="00EE0D48" w:rsidTr="00D51C1D">
        <w:trPr>
          <w:trHeight w:val="26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</w:tr>
      <w:tr w:rsidR="005269AC" w:rsidRPr="00EE0D48" w:rsidTr="00D51C1D">
        <w:trPr>
          <w:trHeight w:val="7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lastRenderedPageBreak/>
              <w:t xml:space="preserve">1 06 01030 10 0000 110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</w:tr>
      <w:tr w:rsidR="005269AC" w:rsidRPr="00EE0D48" w:rsidTr="00D51C1D">
        <w:trPr>
          <w:trHeight w:val="27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4 134,2</w:t>
            </w:r>
          </w:p>
        </w:tc>
      </w:tr>
      <w:tr w:rsidR="005269AC" w:rsidRPr="00EE0D48" w:rsidTr="00D51C1D">
        <w:trPr>
          <w:trHeight w:val="26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1 06 06030 00 0000 110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</w:tr>
      <w:tr w:rsidR="005269AC" w:rsidRPr="00EE0D48" w:rsidTr="00D51C1D">
        <w:trPr>
          <w:trHeight w:val="53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</w:tr>
      <w:tr w:rsidR="005269AC" w:rsidRPr="00EE0D48" w:rsidTr="00D51C1D">
        <w:trPr>
          <w:trHeight w:val="30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</w:tr>
      <w:tr w:rsidR="005269AC" w:rsidRPr="00EE0D48" w:rsidTr="00D51C1D">
        <w:trPr>
          <w:trHeight w:val="56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</w:tr>
      <w:tr w:rsidR="005269AC" w:rsidRPr="00EE0D48" w:rsidTr="00D51C1D">
        <w:trPr>
          <w:trHeight w:val="3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84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97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  <w:rPr>
                <w:rFonts w:ascii="Times New Roman CYR" w:hAnsi="Times New Roman CYR" w:cs="Times New Roman CYR"/>
              </w:rPr>
            </w:pPr>
            <w:r w:rsidRPr="00A701BA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</w:tr>
      <w:tr w:rsidR="005269AC" w:rsidRPr="00EE0D48" w:rsidTr="00D51C1D">
        <w:trPr>
          <w:trHeight w:val="7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</w:tr>
      <w:tr w:rsidR="005269AC" w:rsidRPr="00EE0D48" w:rsidTr="00D51C1D">
        <w:trPr>
          <w:trHeight w:val="11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112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107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1 11 05025 10 0000 120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4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1 11 09000 00 0000 120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 xml:space="preserve">Прочие доходы от использования имущества и прав, находящихся в </w:t>
            </w:r>
            <w:r w:rsidRPr="00A701BA"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lastRenderedPageBreak/>
              <w:t>300,0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300,0</w:t>
            </w:r>
          </w:p>
        </w:tc>
      </w:tr>
      <w:tr w:rsidR="005269AC" w:rsidRPr="00EE0D48" w:rsidTr="00D51C1D">
        <w:trPr>
          <w:trHeight w:val="98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lastRenderedPageBreak/>
              <w:t xml:space="preserve">1 11 09040 00 0000 120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</w:tr>
      <w:tr w:rsidR="005269AC" w:rsidRPr="00EE0D48" w:rsidTr="00D51C1D">
        <w:trPr>
          <w:trHeight w:val="96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1 11 09045 10 0000 120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</w:tr>
      <w:tr w:rsidR="005513E5" w:rsidRPr="00EE0D48" w:rsidTr="00D51C1D">
        <w:trPr>
          <w:trHeight w:val="55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EE0D48" w:rsidRDefault="005513E5" w:rsidP="005269AC">
            <w:pPr>
              <w:jc w:val="center"/>
            </w:pPr>
            <w:r w:rsidRPr="00EE0D48">
              <w:t>1 13 0000 00 0000 000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A701BA" w:rsidRDefault="005513E5" w:rsidP="005269AC">
            <w:r w:rsidRPr="00A701BA"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</w:tr>
      <w:tr w:rsidR="005513E5" w:rsidRPr="00EE0D48" w:rsidTr="00D51C1D">
        <w:trPr>
          <w:trHeight w:val="28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EE0D48" w:rsidRDefault="005513E5" w:rsidP="005269AC">
            <w:pPr>
              <w:jc w:val="center"/>
            </w:pPr>
            <w:r w:rsidRPr="00EE0D48">
              <w:t>1 13 02000 00 0000 130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A701BA" w:rsidRDefault="005513E5" w:rsidP="005269AC">
            <w:r w:rsidRPr="00A701BA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</w:tr>
      <w:tr w:rsidR="005269AC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1 13 02065 10 0000 130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AC" w:rsidRPr="00A701BA" w:rsidRDefault="005269AC" w:rsidP="005269AC">
            <w:r w:rsidRPr="00A701B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</w:tr>
      <w:tr w:rsidR="005513E5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1 13 02990 00 0000 130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69AC" w:rsidRPr="00EE0D48" w:rsidTr="00D51C1D">
        <w:trPr>
          <w:trHeight w:val="27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</w:tr>
      <w:tr w:rsidR="005269AC" w:rsidRPr="00EE0D48" w:rsidTr="00D51C1D">
        <w:trPr>
          <w:trHeight w:val="6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1 16 02000 00 0000 140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</w:tr>
      <w:tr w:rsidR="005269AC" w:rsidRPr="00EE0D48" w:rsidTr="00D51C1D">
        <w:trPr>
          <w:trHeight w:val="69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1 16 02020 02 0000 140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</w:tr>
      <w:tr w:rsidR="00D51C1D" w:rsidRPr="00EE0D48" w:rsidTr="00D51C1D">
        <w:trPr>
          <w:trHeight w:val="2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112 892,5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18 660,0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17 231,8</w:t>
            </w:r>
          </w:p>
        </w:tc>
      </w:tr>
      <w:tr w:rsidR="00D51C1D" w:rsidRPr="00EE0D48" w:rsidTr="00D51C1D">
        <w:trPr>
          <w:trHeight w:val="5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112 894,6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18 660,0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17 231,8</w:t>
            </w:r>
          </w:p>
        </w:tc>
      </w:tr>
      <w:tr w:rsidR="00D51C1D" w:rsidRPr="00EE0D48" w:rsidTr="00D51C1D">
        <w:trPr>
          <w:trHeight w:val="33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21 383,7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29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001 00 0000 150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001 10 0000 150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lastRenderedPageBreak/>
              <w:t>2 02 1</w:t>
            </w:r>
            <w:r>
              <w:t>5</w:t>
            </w:r>
            <w:r w:rsidRPr="00EE0D48">
              <w:t>00</w:t>
            </w:r>
            <w:r>
              <w:t>2</w:t>
            </w:r>
            <w:r w:rsidRPr="00EE0D48">
              <w:t xml:space="preserve">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A701BA" w:rsidRDefault="00D51C1D" w:rsidP="005269AC">
            <w:r w:rsidRPr="00A701B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</w:t>
            </w:r>
            <w:r>
              <w:t>2</w:t>
            </w:r>
            <w:r w:rsidRPr="00EE0D48">
              <w:t xml:space="preserve">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A701BA" w:rsidRDefault="00D51C1D" w:rsidP="005269AC">
            <w:r w:rsidRPr="00A701B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69AC" w:rsidRPr="00EE0D48" w:rsidTr="00D51C1D">
        <w:trPr>
          <w:trHeight w:val="42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5269AC" w:rsidRPr="00EE0D48" w:rsidTr="00D51C1D">
        <w:trPr>
          <w:trHeight w:val="63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269AC" w:rsidRPr="00EE0D48" w:rsidTr="00D51C1D">
        <w:trPr>
          <w:trHeight w:val="57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2 02 30024 10 0000 150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269AC" w:rsidRPr="00EE0D48" w:rsidTr="00D51C1D">
        <w:trPr>
          <w:trHeight w:val="6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2 02 35118 00 0000 150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5269AC" w:rsidRPr="00EE0D48" w:rsidTr="00D51C1D">
        <w:trPr>
          <w:trHeight w:val="66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2 02 35118 10 0000 150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D51C1D" w:rsidRPr="00EE0D48" w:rsidTr="00D51C1D">
        <w:trPr>
          <w:trHeight w:val="38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91 158,1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D51C1D" w:rsidRPr="00EE0D48" w:rsidTr="00D51C1D">
        <w:trPr>
          <w:trHeight w:val="7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2 02 40014 00 0000 150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94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2 02 40014 10 0000 150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29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2 02 49999 00 0000 150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A701BA" w:rsidRDefault="00D51C1D" w:rsidP="005269AC">
            <w:r w:rsidRPr="00A701BA"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87 869,8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D51C1D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2 02 49999 10 0000 150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r w:rsidRPr="00EE0D48"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87 869,8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 xml:space="preserve">2 19 00000 00 0000 000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color w:val="000000"/>
              </w:rPr>
            </w:pPr>
            <w:r w:rsidRPr="005513E5">
              <w:rPr>
                <w:color w:val="000000"/>
              </w:rPr>
              <w:t xml:space="preserve">2 19 00000 10 0000 150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color w:val="000000"/>
              </w:rPr>
            </w:pPr>
            <w:r w:rsidRPr="005513E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color w:val="000000"/>
              </w:rPr>
            </w:pPr>
            <w:r w:rsidRPr="005513E5">
              <w:rPr>
                <w:color w:val="000000"/>
              </w:rPr>
              <w:t xml:space="preserve">2 19 60010 10 0000 150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color w:val="000000"/>
              </w:rPr>
            </w:pPr>
            <w:r w:rsidRPr="005513E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5269AC" w:rsidRDefault="005269AC" w:rsidP="006B22E8"/>
    <w:p w:rsidR="005269AC" w:rsidRDefault="005269AC" w:rsidP="006B22E8"/>
    <w:p w:rsidR="005269AC" w:rsidRPr="00A429EA" w:rsidRDefault="005269AC" w:rsidP="00A429EA">
      <w:pPr>
        <w:sectPr w:rsidR="005269AC" w:rsidRPr="00A429EA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ED6DC8" w:rsidP="00222D23">
            <w:pPr>
              <w:jc w:val="right"/>
            </w:pPr>
            <w:r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222D23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ED6DC8" w:rsidP="00222D23">
            <w:pPr>
              <w:jc w:val="right"/>
            </w:pPr>
            <w:r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ED6DC8" w:rsidP="00222D23">
            <w:pPr>
              <w:jc w:val="right"/>
            </w:pPr>
            <w:r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5269AC" w:rsidP="005269AC">
            <w:r>
              <w:rPr>
                <w:b/>
                <w:bCs/>
              </w:rPr>
              <w:t>4</w:t>
            </w:r>
            <w:r w:rsidRPr="00B01A33">
              <w:rPr>
                <w:b/>
                <w:bCs/>
              </w:rPr>
              <w:t>)</w:t>
            </w:r>
            <w:r w:rsidRPr="00481FD6">
              <w:rPr>
                <w:bCs/>
              </w:rPr>
              <w:t xml:space="preserve"> приложение </w:t>
            </w:r>
            <w:r>
              <w:rPr>
                <w:bCs/>
              </w:rPr>
              <w:t>2</w:t>
            </w:r>
            <w:r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5269AC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24" w:type="dxa"/>
        <w:tblInd w:w="93" w:type="dxa"/>
        <w:tblLook w:val="04A0"/>
      </w:tblPr>
      <w:tblGrid>
        <w:gridCol w:w="7670"/>
        <w:gridCol w:w="709"/>
        <w:gridCol w:w="567"/>
        <w:gridCol w:w="1701"/>
        <w:gridCol w:w="708"/>
        <w:gridCol w:w="1418"/>
        <w:gridCol w:w="1276"/>
        <w:gridCol w:w="1275"/>
      </w:tblGrid>
      <w:tr w:rsidR="00945EE3" w:rsidRPr="00945EE3" w:rsidTr="00945EE3">
        <w:trPr>
          <w:trHeight w:val="920"/>
          <w:tblHeader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2026 г.</w:t>
            </w:r>
          </w:p>
        </w:tc>
      </w:tr>
      <w:tr w:rsidR="00945EE3" w:rsidRPr="00945EE3" w:rsidTr="00945EE3">
        <w:trPr>
          <w:trHeight w:val="436"/>
          <w:tblHeader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8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119 311,0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26 588,6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25 160,4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11 375,7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14 336,5</w:t>
            </w:r>
          </w:p>
        </w:tc>
      </w:tr>
      <w:tr w:rsidR="00945EE3" w:rsidRPr="00945EE3" w:rsidTr="00945EE3">
        <w:trPr>
          <w:trHeight w:val="7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11 058,8</w:t>
            </w:r>
          </w:p>
        </w:tc>
      </w:tr>
      <w:tr w:rsidR="00945EE3" w:rsidRPr="00945EE3" w:rsidTr="00945EE3">
        <w:trPr>
          <w:trHeight w:val="18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09.1.00.28650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45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</w:t>
            </w:r>
            <w:r w:rsidRPr="00D633DA">
              <w:rPr>
                <w:color w:val="000000"/>
              </w:rPr>
              <w:lastRenderedPageBreak/>
              <w:t>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</w:tr>
      <w:tr w:rsidR="00945EE3" w:rsidRPr="00945EE3" w:rsidTr="00945EE3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1 528,0</w:t>
            </w:r>
          </w:p>
        </w:tc>
      </w:tr>
      <w:tr w:rsidR="00945EE3" w:rsidRPr="00945EE3" w:rsidTr="00945EE3">
        <w:trPr>
          <w:trHeight w:val="15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7,9</w:t>
            </w:r>
          </w:p>
        </w:tc>
      </w:tr>
      <w:tr w:rsidR="00945EE3" w:rsidRPr="00945EE3" w:rsidTr="00945EE3">
        <w:trPr>
          <w:trHeight w:val="17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</w:tr>
      <w:tr w:rsidR="00945EE3" w:rsidRPr="00945EE3" w:rsidTr="00217CF3">
        <w:trPr>
          <w:trHeight w:val="3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</w:t>
            </w:r>
            <w:r w:rsidRPr="00D633D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</w:tr>
      <w:tr w:rsidR="00945EE3" w:rsidRPr="00945EE3" w:rsidTr="00945EE3">
        <w:trPr>
          <w:trHeight w:val="7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</w:tr>
      <w:tr w:rsidR="00945EE3" w:rsidRPr="00945EE3" w:rsidTr="00945EE3">
        <w:trPr>
          <w:trHeight w:val="173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</w:tr>
      <w:tr w:rsidR="00945EE3" w:rsidRPr="00945EE3" w:rsidTr="00945EE3">
        <w:trPr>
          <w:trHeight w:val="10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1 020,7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1 020,7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11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2 069,4</w:t>
            </w:r>
          </w:p>
        </w:tc>
      </w:tr>
      <w:tr w:rsidR="00945EE3" w:rsidRPr="00945EE3" w:rsidTr="00945EE3">
        <w:trPr>
          <w:trHeight w:val="173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03.1.00.28120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</w:tr>
      <w:tr w:rsidR="00945EE3" w:rsidRPr="00945EE3" w:rsidTr="00945EE3">
        <w:trPr>
          <w:trHeight w:val="23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04.1.00.28130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</w:tr>
      <w:tr w:rsidR="00945EE3" w:rsidRPr="00945EE3" w:rsidTr="00945EE3">
        <w:trPr>
          <w:trHeight w:val="21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08.1.00.28290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</w:tr>
      <w:tr w:rsidR="00945EE3" w:rsidRPr="00945EE3" w:rsidTr="00945EE3">
        <w:trPr>
          <w:trHeight w:val="15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09.2.00.28340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60,0</w:t>
            </w:r>
          </w:p>
        </w:tc>
      </w:tr>
      <w:tr w:rsidR="00945EE3" w:rsidRPr="00945EE3" w:rsidTr="00945EE3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09.2.00.28350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</w:tr>
      <w:tr w:rsidR="00945EE3" w:rsidRPr="00945EE3" w:rsidTr="00945EE3">
        <w:trPr>
          <w:trHeight w:val="45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634,1</w:t>
            </w:r>
          </w:p>
        </w:tc>
      </w:tr>
      <w:tr w:rsidR="00945EE3" w:rsidRPr="00945EE3" w:rsidTr="00945EE3">
        <w:trPr>
          <w:trHeight w:val="6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1 133,3</w:t>
            </w:r>
          </w:p>
        </w:tc>
      </w:tr>
      <w:tr w:rsidR="00945EE3" w:rsidRPr="00945EE3" w:rsidTr="00D633DA">
        <w:trPr>
          <w:trHeight w:val="1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12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170,0</w:t>
            </w:r>
          </w:p>
        </w:tc>
      </w:tr>
      <w:tr w:rsidR="00945EE3" w:rsidRPr="00945EE3" w:rsidTr="00945EE3">
        <w:trPr>
          <w:trHeight w:val="17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04.1.00.28130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04.2.00.28140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70,0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1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3 383,3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636,2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10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07.1.00.86180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4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07.1.00.S3460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07.2.00.86110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13.1.00.28600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10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91 197,9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5 768,6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81 676,6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</w:tr>
      <w:tr w:rsidR="00945EE3" w:rsidRPr="00945EE3" w:rsidTr="0021683C">
        <w:trPr>
          <w:trHeight w:val="25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75 032,8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13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14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01.2.00.S5170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23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24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02.1.00.28540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</w:tr>
      <w:tr w:rsidR="00945EE3" w:rsidRPr="00945EE3" w:rsidTr="0021683C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02.2.00.86320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FC3A1D">
        <w:trPr>
          <w:trHeight w:val="27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4 219,1</w:t>
            </w:r>
          </w:p>
        </w:tc>
      </w:tr>
      <w:tr w:rsidR="00945EE3" w:rsidRPr="00945EE3" w:rsidTr="00FC3A1D">
        <w:trPr>
          <w:trHeight w:val="20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250,0</w:t>
            </w:r>
          </w:p>
        </w:tc>
      </w:tr>
      <w:tr w:rsidR="00945EE3" w:rsidRPr="00945EE3" w:rsidTr="00FC3A1D">
        <w:trPr>
          <w:trHeight w:val="14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FC3A1D">
        <w:trPr>
          <w:trHeight w:val="14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400,0</w:t>
            </w:r>
          </w:p>
        </w:tc>
      </w:tr>
      <w:tr w:rsidR="00945EE3" w:rsidRPr="00945EE3" w:rsidTr="00FC3A1D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3 399,4</w:t>
            </w:r>
          </w:p>
        </w:tc>
      </w:tr>
      <w:tr w:rsidR="00945EE3" w:rsidRPr="00945EE3" w:rsidTr="00FC3A1D">
        <w:trPr>
          <w:trHeight w:val="1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169,7</w:t>
            </w:r>
          </w:p>
        </w:tc>
      </w:tr>
      <w:tr w:rsidR="00945EE3" w:rsidRPr="00945EE3" w:rsidTr="00FC3A1D">
        <w:trPr>
          <w:trHeight w:val="153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850,0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850,0</w:t>
            </w:r>
          </w:p>
        </w:tc>
      </w:tr>
      <w:tr w:rsidR="00945EE3" w:rsidRPr="00945EE3" w:rsidTr="00FC3A1D">
        <w:trPr>
          <w:trHeight w:val="17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15.1.00.86020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850,0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30,0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</w:tr>
      <w:tr w:rsidR="00945EE3" w:rsidRPr="00945EE3" w:rsidTr="00FC3A1D">
        <w:trPr>
          <w:trHeight w:val="23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09.1.00.28320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3 294,1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3 294,1</w:t>
            </w:r>
          </w:p>
        </w:tc>
      </w:tr>
      <w:tr w:rsidR="00945EE3" w:rsidRPr="00945EE3" w:rsidTr="00FC3A1D">
        <w:trPr>
          <w:trHeight w:val="1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12 060,7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3 229,8</w:t>
            </w:r>
          </w:p>
        </w:tc>
      </w:tr>
      <w:tr w:rsidR="00945EE3" w:rsidRPr="00945EE3" w:rsidTr="00FC3A1D">
        <w:trPr>
          <w:trHeight w:val="1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05.1.00.87020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</w:tr>
      <w:tr w:rsidR="00945EE3" w:rsidRPr="00945EE3" w:rsidTr="00217CF3">
        <w:trPr>
          <w:trHeight w:val="109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17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14.1.00.28670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</w:tr>
      <w:tr w:rsidR="00945EE3" w:rsidRPr="00945EE3" w:rsidTr="00217CF3">
        <w:trPr>
          <w:trHeight w:val="5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</w:t>
            </w:r>
            <w:r w:rsidRPr="00D633DA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06.1.00.28200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  <w:r w:rsidR="005269AC">
              <w:rPr>
                <w:color w:val="000000"/>
              </w:rPr>
              <w:t>»;</w:t>
            </w:r>
          </w:p>
        </w:tc>
      </w:tr>
    </w:tbl>
    <w:p w:rsidR="00945EE3" w:rsidRDefault="00945EE3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945EE3" w:rsidRDefault="00945EE3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F60C53" w:rsidRPr="00481FD6" w:rsidRDefault="005269AC" w:rsidP="00F60C53">
      <w:r>
        <w:rPr>
          <w:b/>
          <w:bCs/>
        </w:rPr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FC3A1D" w:rsidRPr="00481FD6" w:rsidRDefault="00FC3A1D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tbl>
      <w:tblPr>
        <w:tblW w:w="15497" w:type="dxa"/>
        <w:tblInd w:w="91" w:type="dxa"/>
        <w:tblLook w:val="04A0"/>
      </w:tblPr>
      <w:tblGrid>
        <w:gridCol w:w="6821"/>
        <w:gridCol w:w="993"/>
        <w:gridCol w:w="708"/>
        <w:gridCol w:w="851"/>
        <w:gridCol w:w="1623"/>
        <w:gridCol w:w="696"/>
        <w:gridCol w:w="1225"/>
        <w:gridCol w:w="1275"/>
        <w:gridCol w:w="1305"/>
      </w:tblGrid>
      <w:tr w:rsidR="00DC5ECA" w:rsidRPr="00DC5ECA" w:rsidTr="00DC5ECA">
        <w:trPr>
          <w:trHeight w:val="300"/>
          <w:tblHeader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ВР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2025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2026 </w:t>
            </w:r>
          </w:p>
        </w:tc>
      </w:tr>
      <w:tr w:rsidR="00DC5ECA" w:rsidRPr="00DC5ECA" w:rsidTr="00DC5ECA">
        <w:trPr>
          <w:trHeight w:val="276"/>
          <w:tblHeader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</w:tr>
      <w:tr w:rsidR="00DC5ECA" w:rsidRPr="00DC5ECA" w:rsidTr="00DC5ECA">
        <w:trPr>
          <w:trHeight w:val="276"/>
          <w:tblHeader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C5ECA" w:rsidRPr="00DC5ECA" w:rsidTr="00DC5ECA">
        <w:trPr>
          <w:trHeight w:val="300"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</w:tr>
      <w:tr w:rsidR="00DC5ECA" w:rsidRPr="00DC5ECA" w:rsidTr="00DC5ECA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DC5ECA" w:rsidRPr="00DC5ECA" w:rsidTr="00DC5ECA">
        <w:trPr>
          <w:trHeight w:val="9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DC5ECA" w:rsidRPr="00DC5ECA" w:rsidTr="00DC5ECA">
        <w:trPr>
          <w:trHeight w:val="55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</w:tr>
      <w:tr w:rsidR="00DC5ECA" w:rsidRPr="00DC5ECA" w:rsidTr="00DC5ECA">
        <w:trPr>
          <w:trHeight w:val="97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1.2.0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</w:tr>
      <w:tr w:rsidR="00DC5ECA" w:rsidRPr="00DC5ECA" w:rsidTr="00DC5ECA">
        <w:trPr>
          <w:trHeight w:val="23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1 048,7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1 480,7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1 528,0</w:t>
            </w:r>
          </w:p>
        </w:tc>
      </w:tr>
      <w:tr w:rsidR="00DC5ECA" w:rsidRPr="00DC5ECA" w:rsidTr="00DC5ECA">
        <w:trPr>
          <w:trHeight w:val="200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7,9</w:t>
            </w:r>
          </w:p>
        </w:tc>
      </w:tr>
      <w:tr w:rsidR="00DC5ECA" w:rsidRPr="00DC5ECA" w:rsidTr="00DC5ECA">
        <w:trPr>
          <w:trHeight w:val="19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</w:tr>
      <w:tr w:rsidR="00DC5ECA" w:rsidRPr="00DC5ECA" w:rsidTr="00DC5ECA">
        <w:trPr>
          <w:trHeight w:val="38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</w:tr>
      <w:tr w:rsidR="00DC5ECA" w:rsidRPr="00DC5ECA" w:rsidTr="00C563D2">
        <w:trPr>
          <w:trHeight w:val="154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</w:tr>
      <w:tr w:rsidR="00DC5ECA" w:rsidRPr="00DC5ECA" w:rsidTr="00C563D2">
        <w:trPr>
          <w:trHeight w:val="260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</w:tr>
      <w:tr w:rsidR="00DC5ECA" w:rsidRPr="00DC5ECA" w:rsidTr="00DC5ECA">
        <w:trPr>
          <w:trHeight w:val="12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8.8.0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1 020,7</w:t>
            </w:r>
          </w:p>
        </w:tc>
      </w:tr>
      <w:tr w:rsidR="00DC5ECA" w:rsidRPr="00DC5ECA" w:rsidTr="00DC5ECA">
        <w:trPr>
          <w:trHeight w:val="220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8.7.0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</w:tr>
      <w:tr w:rsidR="00DC5ECA" w:rsidRPr="00DC5ECA" w:rsidTr="00C563D2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</w:tr>
      <w:tr w:rsidR="00DC5ECA" w:rsidRPr="00DC5ECA" w:rsidTr="00C563D2">
        <w:trPr>
          <w:trHeight w:val="20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C563D2"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</w:tr>
      <w:tr w:rsidR="00DC5ECA" w:rsidRPr="00DC5ECA" w:rsidTr="00C563D2">
        <w:trPr>
          <w:trHeight w:val="217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</w:tr>
      <w:tr w:rsidR="00DC5ECA" w:rsidRPr="00DC5ECA" w:rsidTr="00C563D2">
        <w:trPr>
          <w:trHeight w:val="19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60,0</w:t>
            </w:r>
          </w:p>
        </w:tc>
      </w:tr>
      <w:tr w:rsidR="00DC5ECA" w:rsidRPr="00DC5ECA" w:rsidTr="00C563D2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</w:tr>
      <w:tr w:rsidR="00DC5ECA" w:rsidRPr="00DC5ECA" w:rsidTr="00C563D2">
        <w:trPr>
          <w:trHeight w:val="18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644,6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634,1</w:t>
            </w:r>
          </w:p>
        </w:tc>
      </w:tr>
      <w:tr w:rsidR="00DC5ECA" w:rsidRPr="00DC5ECA" w:rsidTr="00C563D2">
        <w:trPr>
          <w:trHeight w:val="88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8.8.0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607,6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1 133,3</w:t>
            </w:r>
          </w:p>
        </w:tc>
      </w:tr>
      <w:tr w:rsidR="00DC5ECA" w:rsidRPr="00DC5ECA" w:rsidTr="00C563D2">
        <w:trPr>
          <w:trHeight w:val="141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</w:tr>
      <w:tr w:rsidR="00DC5ECA" w:rsidRPr="00DC5ECA" w:rsidTr="00C563D2">
        <w:trPr>
          <w:trHeight w:val="1277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1.2.0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387,4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422,8</w:t>
            </w:r>
          </w:p>
        </w:tc>
      </w:tr>
      <w:tr w:rsidR="00DC5ECA" w:rsidRPr="00DC5ECA" w:rsidTr="00C563D2">
        <w:trPr>
          <w:trHeight w:val="19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C563D2"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</w:tr>
      <w:tr w:rsidR="00DC5ECA" w:rsidRPr="00DC5ECA" w:rsidTr="00C563D2">
        <w:trPr>
          <w:trHeight w:val="25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70,0</w:t>
            </w:r>
          </w:p>
        </w:tc>
      </w:tr>
      <w:tr w:rsidR="00DC5ECA" w:rsidRPr="00DC5ECA" w:rsidTr="00C563D2">
        <w:trPr>
          <w:trHeight w:val="140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C563D2">
        <w:trPr>
          <w:trHeight w:val="157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34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1 364,9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23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94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</w:tr>
      <w:tr w:rsidR="00DC5ECA" w:rsidRPr="00DC5ECA" w:rsidTr="005A3233">
        <w:trPr>
          <w:trHeight w:val="1706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56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75 032,8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22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397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7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260,0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260,0</w:t>
            </w:r>
          </w:p>
        </w:tc>
      </w:tr>
      <w:tr w:rsidR="00DC5ECA" w:rsidRPr="00DC5ECA" w:rsidTr="005A3233">
        <w:trPr>
          <w:trHeight w:val="25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02.2.00.86320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40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1 289,5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1 289,5</w:t>
            </w:r>
          </w:p>
        </w:tc>
      </w:tr>
      <w:tr w:rsidR="00DC5ECA" w:rsidRPr="00DC5ECA" w:rsidTr="005A3233">
        <w:trPr>
          <w:trHeight w:val="164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250,0</w:t>
            </w:r>
          </w:p>
        </w:tc>
      </w:tr>
      <w:tr w:rsidR="00DC5ECA" w:rsidRPr="00DC5ECA" w:rsidTr="005A3233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 xml:space="preserve"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</w:t>
            </w:r>
            <w:r w:rsidRPr="00DC5EC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08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400,0</w:t>
            </w:r>
          </w:p>
        </w:tc>
      </w:tr>
      <w:tr w:rsidR="00DC5ECA" w:rsidRPr="00DC5ECA" w:rsidTr="005A3233">
        <w:trPr>
          <w:trHeight w:val="211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3 708,3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3 399,4</w:t>
            </w:r>
          </w:p>
        </w:tc>
      </w:tr>
      <w:tr w:rsidR="00DC5ECA" w:rsidRPr="00DC5ECA" w:rsidTr="005A3233">
        <w:trPr>
          <w:trHeight w:val="184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169,7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169,7</w:t>
            </w:r>
          </w:p>
        </w:tc>
      </w:tr>
      <w:tr w:rsidR="00DC5ECA" w:rsidRPr="00DC5ECA" w:rsidTr="005A3233">
        <w:trPr>
          <w:trHeight w:val="189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08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850,0</w:t>
            </w:r>
          </w:p>
        </w:tc>
      </w:tr>
      <w:tr w:rsidR="00DC5ECA" w:rsidRPr="00DC5ECA" w:rsidTr="005A3233">
        <w:trPr>
          <w:trHeight w:val="27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30,0</w:t>
            </w:r>
          </w:p>
        </w:tc>
      </w:tr>
      <w:tr w:rsidR="00DC5ECA" w:rsidRPr="00DC5ECA" w:rsidTr="005A3233">
        <w:trPr>
          <w:trHeight w:val="13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6 151,7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3 229,8</w:t>
            </w:r>
          </w:p>
        </w:tc>
      </w:tr>
      <w:tr w:rsidR="00DC5ECA" w:rsidRPr="00DC5ECA" w:rsidTr="005A3233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</w:tr>
      <w:tr w:rsidR="00DC5ECA" w:rsidRPr="00DC5ECA" w:rsidTr="005A3233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64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</w:tr>
      <w:tr w:rsidR="00DC5ECA" w:rsidRPr="00DC5ECA" w:rsidTr="005A3233">
        <w:trPr>
          <w:trHeight w:val="141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  <w:r w:rsidR="005269AC">
              <w:rPr>
                <w:iCs/>
                <w:color w:val="000000"/>
              </w:rPr>
              <w:t>»;</w:t>
            </w:r>
          </w:p>
        </w:tc>
      </w:tr>
    </w:tbl>
    <w:p w:rsidR="00DC5ECA" w:rsidRDefault="00DC5E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DC5ECA" w:rsidRDefault="00DC5E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right"/>
        <w:rPr>
          <w:b/>
        </w:rPr>
      </w:pPr>
      <w:r w:rsidRPr="00481FD6">
        <w:rPr>
          <w:b/>
        </w:rPr>
        <w:t xml:space="preserve">                                        </w:t>
      </w:r>
      <w:r w:rsidRPr="00481FD6">
        <w:t xml:space="preserve">       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  </w:t>
            </w:r>
          </w:p>
          <w:p w:rsidR="0047303B" w:rsidRPr="00B01A33" w:rsidRDefault="005269AC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5A3233">
            <w:pPr>
              <w:autoSpaceDE w:val="0"/>
              <w:autoSpaceDN w:val="0"/>
              <w:adjustRightInd w:val="0"/>
              <w:jc w:val="center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>
        <w:t>тыс.рублей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752" w:type="dxa"/>
        <w:tblInd w:w="91" w:type="dxa"/>
        <w:tblLook w:val="04A0"/>
      </w:tblPr>
      <w:tblGrid>
        <w:gridCol w:w="8239"/>
        <w:gridCol w:w="1701"/>
        <w:gridCol w:w="709"/>
        <w:gridCol w:w="850"/>
        <w:gridCol w:w="567"/>
        <w:gridCol w:w="1276"/>
        <w:gridCol w:w="1134"/>
        <w:gridCol w:w="1276"/>
      </w:tblGrid>
      <w:tr w:rsidR="00A758EA" w:rsidRPr="00A758EA" w:rsidTr="00A758EA">
        <w:trPr>
          <w:trHeight w:val="630"/>
          <w:tblHeader/>
        </w:trPr>
        <w:tc>
          <w:tcPr>
            <w:tcW w:w="8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2026 г.</w:t>
            </w:r>
          </w:p>
        </w:tc>
      </w:tr>
      <w:tr w:rsidR="00A758EA" w:rsidRPr="00A758EA" w:rsidTr="00A758EA">
        <w:trPr>
          <w:trHeight w:val="630"/>
          <w:tblHeader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276"/>
          <w:tblHeader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348"/>
          <w:tblHeader/>
        </w:trPr>
        <w:tc>
          <w:tcPr>
            <w:tcW w:w="8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8</w:t>
            </w:r>
          </w:p>
        </w:tc>
      </w:tr>
      <w:tr w:rsidR="00A758EA" w:rsidRPr="00A758EA" w:rsidTr="00A758EA">
        <w:trPr>
          <w:trHeight w:val="276"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FC3A1D" w:rsidRDefault="00A758EA" w:rsidP="00A758EA">
            <w:pPr>
              <w:jc w:val="both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A758EA" w:rsidRPr="00A758EA" w:rsidTr="00A758EA">
        <w:trPr>
          <w:trHeight w:val="90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81 452,2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81 452,2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</w:t>
            </w:r>
            <w:r w:rsidRPr="00A758EA">
              <w:rPr>
                <w:bCs/>
                <w:color w:val="000000"/>
              </w:rPr>
              <w:lastRenderedPageBreak/>
              <w:t>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75 032,8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66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1 799,5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1 799,5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</w:tr>
      <w:tr w:rsidR="00A758EA" w:rsidRPr="00A758EA" w:rsidTr="00A758EA">
        <w:trPr>
          <w:trHeight w:val="151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1 539,5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</w:t>
            </w:r>
            <w:r w:rsidRPr="00A758EA">
              <w:rPr>
                <w:bCs/>
                <w:color w:val="000000"/>
              </w:rPr>
              <w:lastRenderedPageBreak/>
              <w:t>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02.2.00.86320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1 289,5</w:t>
            </w:r>
          </w:p>
        </w:tc>
      </w:tr>
      <w:tr w:rsidR="00A758EA" w:rsidRPr="00A758EA" w:rsidTr="00A758EA">
        <w:trPr>
          <w:trHeight w:val="53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187,0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117,0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</w:tr>
      <w:tr w:rsidR="00A758EA" w:rsidRPr="00A758EA" w:rsidTr="00A758EA">
        <w:trPr>
          <w:trHeight w:val="192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</w:t>
            </w:r>
            <w:r w:rsidRPr="00A758EA">
              <w:rPr>
                <w:bCs/>
                <w:color w:val="000000"/>
              </w:rPr>
              <w:lastRenderedPageBreak/>
              <w:t>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3 294,1</w:t>
            </w:r>
          </w:p>
        </w:tc>
      </w:tr>
      <w:tr w:rsidR="00A758EA" w:rsidRPr="00A758EA" w:rsidTr="00A758EA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3 294,1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12 060,7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3 229,8</w:t>
            </w:r>
          </w:p>
        </w:tc>
      </w:tr>
      <w:tr w:rsidR="00A758EA" w:rsidRPr="00A758EA" w:rsidTr="00A758EA">
        <w:trPr>
          <w:trHeight w:val="163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</w:tr>
      <w:tr w:rsidR="00A758EA" w:rsidRPr="00A758EA" w:rsidTr="00A758EA">
        <w:trPr>
          <w:trHeight w:val="68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19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</w:t>
            </w:r>
            <w:r w:rsidRPr="00A758EA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48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9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1 364,9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068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268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185,0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85,0</w:t>
            </w:r>
          </w:p>
        </w:tc>
      </w:tr>
      <w:tr w:rsidR="00A758EA" w:rsidRPr="00A758EA" w:rsidTr="00A758EA">
        <w:trPr>
          <w:trHeight w:val="154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</w:t>
            </w:r>
            <w:r w:rsidRPr="00A758EA">
              <w:rPr>
                <w:bCs/>
                <w:color w:val="000000"/>
              </w:rPr>
              <w:lastRenderedPageBreak/>
              <w:t>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</w:tr>
      <w:tr w:rsidR="00A758EA" w:rsidRPr="00A758EA" w:rsidTr="00A758EA">
        <w:trPr>
          <w:trHeight w:val="122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10 959,7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11 696,5</w:t>
            </w:r>
          </w:p>
        </w:tc>
      </w:tr>
      <w:tr w:rsidR="00A758EA" w:rsidRPr="00A758EA" w:rsidTr="00A758EA">
        <w:trPr>
          <w:trHeight w:val="126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10 959,7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11 696,5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1 528,0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7,9</w:t>
            </w:r>
          </w:p>
        </w:tc>
      </w:tr>
      <w:tr w:rsidR="00A758EA" w:rsidRPr="00A758EA" w:rsidTr="00A758EA">
        <w:trPr>
          <w:trHeight w:val="135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634,1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4 278,0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3 969,1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4 278,0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3 969,1</w:t>
            </w:r>
          </w:p>
        </w:tc>
      </w:tr>
      <w:tr w:rsidR="00A758EA" w:rsidRPr="00A758EA" w:rsidTr="00A758EA">
        <w:trPr>
          <w:trHeight w:val="148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393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3 708,3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3 399,4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169,7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4B69E3">
        <w:trPr>
          <w:trHeight w:val="15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4B69E3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4B69E3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4B69E3">
        <w:trPr>
          <w:trHeight w:val="153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8B682B">
        <w:trPr>
          <w:trHeight w:val="94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2 860,8</w:t>
            </w:r>
          </w:p>
        </w:tc>
      </w:tr>
      <w:tr w:rsidR="00A758EA" w:rsidRPr="00A758EA" w:rsidTr="008B682B">
        <w:trPr>
          <w:trHeight w:val="54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4B69E3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2 860,8</w:t>
            </w:r>
          </w:p>
        </w:tc>
      </w:tr>
      <w:tr w:rsidR="00A758EA" w:rsidRPr="00A758EA" w:rsidTr="008B682B">
        <w:trPr>
          <w:trHeight w:val="126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422,8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8B682B"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</w:tr>
      <w:tr w:rsidR="00A758EA" w:rsidRPr="00A758EA" w:rsidTr="008B682B">
        <w:trPr>
          <w:trHeight w:val="88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1 020,7</w:t>
            </w:r>
          </w:p>
        </w:tc>
      </w:tr>
      <w:tr w:rsidR="00A758EA" w:rsidRPr="00A758EA" w:rsidTr="00A758EA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1 133,3</w:t>
            </w:r>
          </w:p>
        </w:tc>
      </w:tr>
      <w:tr w:rsidR="00A758EA" w:rsidRPr="00A758EA" w:rsidTr="008B682B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  <w:r w:rsidR="005269AC">
              <w:rPr>
                <w:bCs/>
                <w:color w:val="000000"/>
              </w:rPr>
              <w:t>»;</w:t>
            </w:r>
          </w:p>
        </w:tc>
      </w:tr>
    </w:tbl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FB6476" w:rsidRPr="00481FD6" w:rsidRDefault="005269AC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8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Pr="00EE0D48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BD5F27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476352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1</w:t>
            </w:r>
            <w:r w:rsidR="00B01A33" w:rsidRPr="00A71345">
              <w:rPr>
                <w:sz w:val="20"/>
                <w:szCs w:val="20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FC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2</w:t>
            </w:r>
            <w:r w:rsidR="00B01A33" w:rsidRPr="00A71345">
              <w:rPr>
                <w:sz w:val="20"/>
                <w:szCs w:val="20"/>
              </w:rPr>
              <w:t>.</w:t>
            </w:r>
            <w:r w:rsidR="00B01A33" w:rsidRPr="00A71345">
              <w:rPr>
                <w:color w:val="000000"/>
                <w:sz w:val="20"/>
                <w:szCs w:val="20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3. Расходы на приобретение контейнеров для сбора ТКО</w:t>
            </w:r>
          </w:p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A71345" w:rsidRDefault="00305D79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 xml:space="preserve">4. </w:t>
            </w:r>
            <w:r w:rsidRPr="00A71345">
              <w:rPr>
                <w:iCs/>
                <w:color w:val="000000"/>
                <w:sz w:val="20"/>
                <w:szCs w:val="20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305D79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6352">
              <w:rPr>
                <w:sz w:val="22"/>
                <w:szCs w:val="22"/>
              </w:rPr>
              <w:t>8 489,3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476352" w:rsidP="00476352">
      <w:pPr>
        <w:shd w:val="clear" w:color="auto" w:fill="FFFFFF" w:themeFill="background1"/>
      </w:pPr>
      <w:r>
        <w:rPr>
          <w:b/>
        </w:rPr>
        <w:t>9</w:t>
      </w:r>
      <w:r w:rsidRPr="00481FD6">
        <w:rPr>
          <w:b/>
        </w:rPr>
        <w:t>)</w:t>
      </w:r>
      <w:r>
        <w:t xml:space="preserve">  </w:t>
      </w:r>
      <w:r w:rsidRPr="00481FD6">
        <w:t xml:space="preserve">приложение </w:t>
      </w:r>
      <w:r>
        <w:t>10</w:t>
      </w:r>
      <w:r w:rsidRPr="00481FD6">
        <w:t xml:space="preserve"> </w:t>
      </w:r>
      <w:r>
        <w:t xml:space="preserve">изложить </w:t>
      </w:r>
      <w:r w:rsidRPr="00481FD6">
        <w:t xml:space="preserve">в следующей редакции:   </w:t>
      </w:r>
      <w:r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8168FD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305D79" w:rsidP="00BD5F2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305D7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5513E5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</w:p>
    <w:p w:rsidR="00481FD6" w:rsidRPr="00481FD6" w:rsidRDefault="005513E5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326665" w:rsidRPr="00D633DA" w:rsidRDefault="00616E82" w:rsidP="002E36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27</w:t>
      </w:r>
      <w:r w:rsidR="00D633DA" w:rsidRPr="00D633DA">
        <w:rPr>
          <w:bCs/>
          <w:sz w:val="26"/>
          <w:szCs w:val="26"/>
        </w:rPr>
        <w:t xml:space="preserve"> июня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28" w:rsidRDefault="007E3828">
      <w:r>
        <w:separator/>
      </w:r>
    </w:p>
  </w:endnote>
  <w:endnote w:type="continuationSeparator" w:id="1">
    <w:p w:rsidR="007E3828" w:rsidRDefault="007E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28" w:rsidRDefault="007E3828">
      <w:r>
        <w:separator/>
      </w:r>
    </w:p>
  </w:footnote>
  <w:footnote w:type="continuationSeparator" w:id="1">
    <w:p w:rsidR="007E3828" w:rsidRDefault="007E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79" w:rsidRDefault="009F7557" w:rsidP="00174C44">
    <w:pPr>
      <w:framePr w:wrap="around" w:vAnchor="text" w:hAnchor="margin" w:xAlign="center" w:y="1"/>
    </w:pPr>
    <w:r>
      <w:fldChar w:fldCharType="begin"/>
    </w:r>
    <w:r w:rsidR="00305D79">
      <w:instrText xml:space="preserve">PAGE  </w:instrText>
    </w:r>
    <w:r>
      <w:fldChar w:fldCharType="end"/>
    </w:r>
  </w:p>
  <w:p w:rsidR="00305D79" w:rsidRDefault="00305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8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7213"/>
    <w:rsid w:val="00360612"/>
    <w:rsid w:val="003607B2"/>
    <w:rsid w:val="00360AF1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1B39"/>
    <w:rsid w:val="00612064"/>
    <w:rsid w:val="0061237B"/>
    <w:rsid w:val="0061277B"/>
    <w:rsid w:val="00613D44"/>
    <w:rsid w:val="00614186"/>
    <w:rsid w:val="0061669E"/>
    <w:rsid w:val="00616E82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4062A"/>
    <w:rsid w:val="0074096F"/>
    <w:rsid w:val="00744275"/>
    <w:rsid w:val="00745275"/>
    <w:rsid w:val="0074549F"/>
    <w:rsid w:val="00747EC2"/>
    <w:rsid w:val="007511B0"/>
    <w:rsid w:val="00751DB9"/>
    <w:rsid w:val="007544CC"/>
    <w:rsid w:val="00755C10"/>
    <w:rsid w:val="0075627B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265B"/>
    <w:rsid w:val="007E2B29"/>
    <w:rsid w:val="007E3828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82B"/>
    <w:rsid w:val="008C00DD"/>
    <w:rsid w:val="008C06AA"/>
    <w:rsid w:val="008C1198"/>
    <w:rsid w:val="008C125F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9F7557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A85"/>
    <w:rsid w:val="00AB05B2"/>
    <w:rsid w:val="00AB07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702D"/>
    <w:rsid w:val="00B713B4"/>
    <w:rsid w:val="00B73251"/>
    <w:rsid w:val="00B73367"/>
    <w:rsid w:val="00B746BF"/>
    <w:rsid w:val="00B75879"/>
    <w:rsid w:val="00B77239"/>
    <w:rsid w:val="00B77BA1"/>
    <w:rsid w:val="00B77C10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395"/>
    <w:rsid w:val="00C3590A"/>
    <w:rsid w:val="00C35A13"/>
    <w:rsid w:val="00C35BB8"/>
    <w:rsid w:val="00C37417"/>
    <w:rsid w:val="00C37EB9"/>
    <w:rsid w:val="00C40567"/>
    <w:rsid w:val="00C409AC"/>
    <w:rsid w:val="00C41776"/>
    <w:rsid w:val="00C4194A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4843"/>
    <w:rsid w:val="00D550EE"/>
    <w:rsid w:val="00D56048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931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352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b">
    <w:name w:val="Hyperlink"/>
    <w:uiPriority w:val="99"/>
    <w:unhideWhenUsed/>
    <w:rsid w:val="0047303B"/>
    <w:rPr>
      <w:color w:val="0000FF"/>
      <w:u w:val="single"/>
    </w:rPr>
  </w:style>
  <w:style w:type="paragraph" w:styleId="ac">
    <w:name w:val="Document Map"/>
    <w:basedOn w:val="a"/>
    <w:link w:val="ad"/>
    <w:rsid w:val="00155DA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55DA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30107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301075"/>
    <w:rPr>
      <w:sz w:val="28"/>
    </w:rPr>
  </w:style>
  <w:style w:type="paragraph" w:styleId="af0">
    <w:name w:val="No Spacing"/>
    <w:uiPriority w:val="1"/>
    <w:qFormat/>
    <w:rsid w:val="00F92EDB"/>
    <w:rPr>
      <w:sz w:val="24"/>
      <w:szCs w:val="24"/>
    </w:rPr>
  </w:style>
  <w:style w:type="paragraph" w:styleId="af1">
    <w:name w:val="List Paragraph"/>
    <w:basedOn w:val="a"/>
    <w:uiPriority w:val="34"/>
    <w:qFormat/>
    <w:rsid w:val="00CC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12889</Words>
  <Characters>73472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86189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27</cp:revision>
  <cp:lastPrinted>2024-07-01T11:05:00Z</cp:lastPrinted>
  <dcterms:created xsi:type="dcterms:W3CDTF">2024-03-11T06:28:00Z</dcterms:created>
  <dcterms:modified xsi:type="dcterms:W3CDTF">2024-07-01T11:06:00Z</dcterms:modified>
</cp:coreProperties>
</file>